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31F16" w14:textId="77777777" w:rsidR="00BD61D8" w:rsidRPr="00BD61D8" w:rsidRDefault="00BD61D8" w:rsidP="00BD61D8">
      <w:pPr>
        <w:ind w:left="284" w:right="338"/>
        <w:jc w:val="center"/>
        <w:rPr>
          <w:rFonts w:ascii="Arial Narrow" w:hAnsi="Arial Narrow" w:cs="Arial"/>
          <w:b/>
        </w:rPr>
      </w:pPr>
    </w:p>
    <w:p w14:paraId="6C6C8F44" w14:textId="23021A74" w:rsidR="00BD61D8" w:rsidRPr="00BD61D8" w:rsidRDefault="00BD61D8" w:rsidP="00BD61D8">
      <w:pPr>
        <w:ind w:left="284" w:right="338"/>
        <w:jc w:val="center"/>
        <w:rPr>
          <w:b/>
          <w:bCs/>
        </w:rPr>
      </w:pPr>
      <w:r w:rsidRPr="00BD61D8">
        <w:rPr>
          <w:b/>
          <w:bCs/>
        </w:rPr>
        <w:t>HOMOLOGAÇÃO DO PREGÃO PRESENCIAL Nº 0</w:t>
      </w:r>
      <w:r w:rsidR="00680B28">
        <w:rPr>
          <w:b/>
          <w:bCs/>
        </w:rPr>
        <w:t>37</w:t>
      </w:r>
      <w:r w:rsidRPr="00BD61D8">
        <w:rPr>
          <w:b/>
          <w:bCs/>
        </w:rPr>
        <w:t>/202</w:t>
      </w:r>
      <w:r w:rsidR="00680B28">
        <w:rPr>
          <w:b/>
          <w:bCs/>
        </w:rPr>
        <w:t>2</w:t>
      </w:r>
    </w:p>
    <w:p w14:paraId="1BC122B6" w14:textId="77777777" w:rsidR="00BD61D8" w:rsidRPr="00BD61D8" w:rsidRDefault="00BD61D8" w:rsidP="00BD61D8">
      <w:pPr>
        <w:rPr>
          <w:b/>
          <w:bCs/>
        </w:rPr>
      </w:pPr>
    </w:p>
    <w:p w14:paraId="5B5D4F19" w14:textId="77777777" w:rsidR="00BD61D8" w:rsidRPr="00BD61D8" w:rsidRDefault="00BD61D8" w:rsidP="00BD61D8"/>
    <w:p w14:paraId="25B047A7" w14:textId="3C100F64" w:rsidR="00BD61D8" w:rsidRPr="00BD61D8" w:rsidRDefault="00BD61D8" w:rsidP="00BD61D8">
      <w:pPr>
        <w:pStyle w:val="Ttulo1"/>
        <w:spacing w:before="0"/>
        <w:ind w:right="55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BD61D8">
        <w:rPr>
          <w:rFonts w:ascii="Times New Roman" w:hAnsi="Times New Roman" w:cs="Times New Roman"/>
          <w:bCs w:val="0"/>
          <w:color w:val="auto"/>
          <w:sz w:val="20"/>
          <w:szCs w:val="20"/>
        </w:rPr>
        <w:t>PREGÃO PRESENCIAL Nº 0</w:t>
      </w:r>
      <w:r w:rsidR="00680B28">
        <w:rPr>
          <w:rFonts w:ascii="Times New Roman" w:hAnsi="Times New Roman" w:cs="Times New Roman"/>
          <w:bCs w:val="0"/>
          <w:color w:val="auto"/>
          <w:sz w:val="20"/>
          <w:szCs w:val="20"/>
        </w:rPr>
        <w:t>37</w:t>
      </w:r>
      <w:r w:rsidRPr="00BD61D8">
        <w:rPr>
          <w:rFonts w:ascii="Times New Roman" w:hAnsi="Times New Roman" w:cs="Times New Roman"/>
          <w:bCs w:val="0"/>
          <w:color w:val="auto"/>
          <w:sz w:val="20"/>
          <w:szCs w:val="20"/>
        </w:rPr>
        <w:t>/202</w:t>
      </w:r>
      <w:r w:rsidR="00680B28">
        <w:rPr>
          <w:rFonts w:ascii="Times New Roman" w:hAnsi="Times New Roman" w:cs="Times New Roman"/>
          <w:bCs w:val="0"/>
          <w:color w:val="auto"/>
          <w:sz w:val="20"/>
          <w:szCs w:val="20"/>
        </w:rPr>
        <w:t>2</w:t>
      </w:r>
    </w:p>
    <w:p w14:paraId="76B995C6" w14:textId="720747A7" w:rsidR="00BD61D8" w:rsidRPr="00BD61D8" w:rsidRDefault="00BD61D8" w:rsidP="00BD61D8">
      <w:pPr>
        <w:ind w:right="55"/>
        <w:rPr>
          <w:b/>
          <w:bCs/>
          <w:sz w:val="20"/>
          <w:szCs w:val="20"/>
        </w:rPr>
      </w:pPr>
      <w:r w:rsidRPr="00BD61D8">
        <w:rPr>
          <w:b/>
          <w:bCs/>
          <w:sz w:val="20"/>
          <w:szCs w:val="20"/>
        </w:rPr>
        <w:t>Protocolo Administrativo nº</w:t>
      </w:r>
      <w:r w:rsidR="00680B28">
        <w:rPr>
          <w:b/>
          <w:bCs/>
          <w:sz w:val="20"/>
          <w:szCs w:val="20"/>
        </w:rPr>
        <w:t xml:space="preserve"> 364/2022</w:t>
      </w:r>
    </w:p>
    <w:p w14:paraId="48B3D167" w14:textId="77777777" w:rsidR="00BD61D8" w:rsidRPr="00BD61D8" w:rsidRDefault="00BD61D8" w:rsidP="00BD61D8">
      <w:pPr>
        <w:ind w:left="284" w:right="55"/>
        <w:jc w:val="both"/>
        <w:rPr>
          <w:sz w:val="20"/>
          <w:szCs w:val="20"/>
        </w:rPr>
      </w:pPr>
    </w:p>
    <w:p w14:paraId="35753BA7" w14:textId="16B86DA0" w:rsidR="00BD61D8" w:rsidRPr="00BD61D8" w:rsidRDefault="00BD61D8" w:rsidP="00BD61D8">
      <w:pPr>
        <w:tabs>
          <w:tab w:val="left" w:pos="0"/>
        </w:tabs>
        <w:ind w:right="142"/>
        <w:jc w:val="both"/>
        <w:rPr>
          <w:sz w:val="20"/>
          <w:szCs w:val="20"/>
        </w:rPr>
      </w:pPr>
      <w:r w:rsidRPr="00BD61D8">
        <w:rPr>
          <w:sz w:val="20"/>
          <w:szCs w:val="20"/>
          <w:u w:val="single"/>
        </w:rPr>
        <w:t>Objeto</w:t>
      </w:r>
      <w:r w:rsidRPr="00BD61D8">
        <w:rPr>
          <w:sz w:val="20"/>
          <w:szCs w:val="20"/>
        </w:rPr>
        <w:t xml:space="preserve">: </w:t>
      </w:r>
      <w:bookmarkStart w:id="0" w:name="_Hlk8659757"/>
      <w:r w:rsidRPr="00BD61D8">
        <w:rPr>
          <w:sz w:val="20"/>
          <w:szCs w:val="20"/>
        </w:rPr>
        <w:t xml:space="preserve">REGISTRO DE PREÇOS PARA </w:t>
      </w:r>
      <w:r w:rsidR="00680B28">
        <w:rPr>
          <w:sz w:val="20"/>
          <w:szCs w:val="20"/>
        </w:rPr>
        <w:t>FUTURAS E EVENTUAIS CONTRATAÇÕES DE SERVIÇOS DE ADEQUAÇÕES, CONFECÇÕES DE RAMPAS DE ACESSIBILIDADE E SARJETAS.</w:t>
      </w:r>
    </w:p>
    <w:bookmarkEnd w:id="0"/>
    <w:p w14:paraId="6D7E4A56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20F6A8D3" w14:textId="7CF54E41" w:rsidR="00BD61D8" w:rsidRPr="000E4D6B" w:rsidRDefault="00BD61D8" w:rsidP="00BD61D8">
      <w:pPr>
        <w:ind w:right="57"/>
        <w:jc w:val="both"/>
        <w:rPr>
          <w:sz w:val="20"/>
          <w:szCs w:val="20"/>
        </w:rPr>
      </w:pPr>
      <w:r w:rsidRPr="000E4D6B">
        <w:rPr>
          <w:sz w:val="20"/>
          <w:szCs w:val="20"/>
        </w:rPr>
        <w:t xml:space="preserve">Em ata datada de </w:t>
      </w:r>
      <w:r w:rsidR="00680B28" w:rsidRPr="000E4D6B">
        <w:rPr>
          <w:sz w:val="20"/>
          <w:szCs w:val="20"/>
        </w:rPr>
        <w:t>20</w:t>
      </w:r>
      <w:r w:rsidRPr="000E4D6B">
        <w:rPr>
          <w:sz w:val="20"/>
          <w:szCs w:val="20"/>
        </w:rPr>
        <w:t>/</w:t>
      </w:r>
      <w:r w:rsidR="00680B28" w:rsidRPr="000E4D6B">
        <w:rPr>
          <w:sz w:val="20"/>
          <w:szCs w:val="20"/>
        </w:rPr>
        <w:t>10</w:t>
      </w:r>
      <w:r w:rsidRPr="000E4D6B">
        <w:rPr>
          <w:sz w:val="20"/>
          <w:szCs w:val="20"/>
        </w:rPr>
        <w:t>/202</w:t>
      </w:r>
      <w:r w:rsidR="00680B28" w:rsidRPr="000E4D6B">
        <w:rPr>
          <w:sz w:val="20"/>
          <w:szCs w:val="20"/>
        </w:rPr>
        <w:t>2</w:t>
      </w:r>
      <w:r w:rsidRPr="000E4D6B">
        <w:rPr>
          <w:sz w:val="20"/>
          <w:szCs w:val="20"/>
        </w:rPr>
        <w:t>, o Pregoeiro e Equipe de Apoio procedera a realização da sessão referente ao Pregão Presencial de nº 0</w:t>
      </w:r>
      <w:r w:rsidR="00CD3039" w:rsidRPr="000E4D6B">
        <w:rPr>
          <w:sz w:val="20"/>
          <w:szCs w:val="20"/>
        </w:rPr>
        <w:t>37</w:t>
      </w:r>
      <w:r w:rsidRPr="000E4D6B">
        <w:rPr>
          <w:sz w:val="20"/>
          <w:szCs w:val="20"/>
        </w:rPr>
        <w:t>/202</w:t>
      </w:r>
      <w:r w:rsidR="00CD3039" w:rsidRPr="000E4D6B">
        <w:rPr>
          <w:sz w:val="20"/>
          <w:szCs w:val="20"/>
        </w:rPr>
        <w:t>2</w:t>
      </w:r>
      <w:r w:rsidRPr="000E4D6B">
        <w:rPr>
          <w:sz w:val="20"/>
          <w:szCs w:val="20"/>
        </w:rPr>
        <w:t>, concluindo pela classificação da proposta e habilitação da licitante.</w:t>
      </w:r>
    </w:p>
    <w:p w14:paraId="31B76991" w14:textId="11F38C51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0E4D6B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0E4D6B">
        <w:rPr>
          <w:b/>
          <w:sz w:val="20"/>
          <w:szCs w:val="20"/>
        </w:rPr>
        <w:t>HOMOLOGO</w:t>
      </w:r>
      <w:r w:rsidRPr="000E4D6B">
        <w:rPr>
          <w:sz w:val="20"/>
          <w:szCs w:val="20"/>
        </w:rPr>
        <w:t xml:space="preserve"> a classificação final e </w:t>
      </w:r>
      <w:r w:rsidRPr="000E4D6B">
        <w:rPr>
          <w:b/>
          <w:sz w:val="20"/>
          <w:szCs w:val="20"/>
        </w:rPr>
        <w:t>ADJUDICO</w:t>
      </w:r>
      <w:r w:rsidRPr="000E4D6B">
        <w:rPr>
          <w:sz w:val="20"/>
          <w:szCs w:val="20"/>
        </w:rPr>
        <w:t xml:space="preserve"> o objeto do presente certame considerando vencedora a licitante, nos itens e valores, conforme a seguir:</w:t>
      </w:r>
    </w:p>
    <w:p w14:paraId="64599B04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5C9CE342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678"/>
        <w:gridCol w:w="1276"/>
        <w:gridCol w:w="1276"/>
      </w:tblGrid>
      <w:tr w:rsidR="002A0B0D" w:rsidRPr="00BD61D8" w14:paraId="0704AE56" w14:textId="77777777" w:rsidTr="000D4074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DA164" w14:textId="6D7275B9" w:rsidR="002A0B0D" w:rsidRDefault="00CD3039" w:rsidP="00520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CONSTRUTORA IDB EIRELI</w:t>
            </w:r>
            <w:r w:rsidR="00353DD2">
              <w:rPr>
                <w:b/>
                <w:sz w:val="20"/>
                <w:szCs w:val="20"/>
              </w:rPr>
              <w:t xml:space="preserve"> - ME</w:t>
            </w:r>
          </w:p>
          <w:p w14:paraId="67857C76" w14:textId="3E637521" w:rsidR="002A0B0D" w:rsidRPr="00BD61D8" w:rsidRDefault="002A0B0D" w:rsidP="00520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Nº </w:t>
            </w:r>
            <w:r w:rsidR="00CD3039">
              <w:rPr>
                <w:b/>
                <w:sz w:val="20"/>
                <w:szCs w:val="20"/>
              </w:rPr>
              <w:t>21.961.275/0001-61</w:t>
            </w:r>
          </w:p>
        </w:tc>
      </w:tr>
      <w:tr w:rsidR="00BD61D8" w:rsidRPr="00BD61D8" w14:paraId="55A31567" w14:textId="77777777" w:rsidTr="00081201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75005" w14:textId="77777777" w:rsidR="00BD61D8" w:rsidRPr="00BD61D8" w:rsidRDefault="00BD61D8" w:rsidP="00520164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1D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578A7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7848" w14:textId="2CBA0421" w:rsidR="00BD61D8" w:rsidRPr="00BD61D8" w:rsidRDefault="00BD61D8" w:rsidP="00520164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D454A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E759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VALOR - R$</w:t>
            </w:r>
          </w:p>
        </w:tc>
      </w:tr>
      <w:tr w:rsidR="00BD61D8" w:rsidRPr="00BD61D8" w14:paraId="47494924" w14:textId="77777777" w:rsidTr="00081201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E29D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A84D6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703D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B6A4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92CD0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90D8B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TOTAL</w:t>
            </w:r>
          </w:p>
        </w:tc>
      </w:tr>
      <w:tr w:rsidR="00BD61D8" w:rsidRPr="00BD61D8" w14:paraId="212BF974" w14:textId="77777777" w:rsidTr="0008120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B408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7B76" w14:textId="6FCDF494" w:rsidR="00BD61D8" w:rsidRPr="00BD61D8" w:rsidRDefault="00CD3039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2E91" w14:textId="114A5639" w:rsidR="00BD61D8" w:rsidRPr="00BD61D8" w:rsidRDefault="00081201" w:rsidP="005201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23C35" w14:textId="267D7EB4" w:rsidR="00BD61D8" w:rsidRPr="00081201" w:rsidRDefault="00A50269" w:rsidP="005201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SERVIÇOS ADEQUAÇÃO E CONFECÇÃO DE RAMPAS EM PASSEIO PÚBLICO, SOMENTE MÃO DE OBRA INCLUINDO RETIRADA DE PASSEIO EXI</w:t>
            </w:r>
            <w:r w:rsidR="00081201">
              <w:rPr>
                <w:rFonts w:eastAsiaTheme="minorHAnsi"/>
                <w:bCs/>
                <w:sz w:val="16"/>
                <w:szCs w:val="16"/>
                <w:lang w:eastAsia="en-US"/>
              </w:rPr>
              <w:t>S</w:t>
            </w:r>
            <w:r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TENTE INCLUSIVE MAIO FIO, ADEQUAÇÃO DE LEI</w:t>
            </w:r>
            <w:r w:rsidR="00081201"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TO, CONFECÇÃO DE RAMPA, ESCALIFICAÇÃO DE PEDRAS, REBAIXO DE M</w:t>
            </w:r>
            <w:r w:rsidR="00081201">
              <w:rPr>
                <w:rFonts w:eastAsiaTheme="minorHAnsi"/>
                <w:bCs/>
                <w:sz w:val="16"/>
                <w:szCs w:val="16"/>
                <w:lang w:eastAsia="en-US"/>
              </w:rPr>
              <w:t>E</w:t>
            </w:r>
            <w:r w:rsidR="00081201"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IO FIO, CONFORME PROJETO E ORIENTAÇÃO DA FISCALIZAÇÃO, OS MATERIAIS SÃO DE RESPONSABILIDADE DA PR</w:t>
            </w:r>
            <w:r w:rsidR="00081201">
              <w:rPr>
                <w:rFonts w:eastAsiaTheme="minorHAnsi"/>
                <w:bCs/>
                <w:sz w:val="16"/>
                <w:szCs w:val="16"/>
                <w:lang w:eastAsia="en-US"/>
              </w:rPr>
              <w:t>EFE</w:t>
            </w:r>
            <w:r w:rsidR="00081201"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ITURA. A CONTRATADA DEVERÁ SER RESPONSÁVEL PELA LIMPEZA, INCLUINDO A MÃO DE OBRA PARA O RECOLHIMENTO DO EXCEDENTE EM MAQUINÁRIO DA PREFEITURA DEIXANDO A VIA LIMPA E DES</w:t>
            </w:r>
            <w:r w:rsidR="00081201">
              <w:rPr>
                <w:rFonts w:eastAsiaTheme="minorHAnsi"/>
                <w:bCs/>
                <w:sz w:val="16"/>
                <w:szCs w:val="16"/>
                <w:lang w:eastAsia="en-US"/>
              </w:rPr>
              <w:t>O</w:t>
            </w:r>
            <w:r w:rsidR="00081201" w:rsidRPr="00081201">
              <w:rPr>
                <w:rFonts w:eastAsiaTheme="minorHAnsi"/>
                <w:bCs/>
                <w:sz w:val="16"/>
                <w:szCs w:val="16"/>
                <w:lang w:eastAsia="en-US"/>
              </w:rPr>
              <w:t>BSTRUÍDA. TODO O FERRAMENTAL É DE RESPONSABILIDADE DA CONTRATADA</w:t>
            </w:r>
            <w:r w:rsidR="00081201">
              <w:rPr>
                <w:rFonts w:eastAsiaTheme="minorHAnsi"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C7453" w14:textId="10C1AABA" w:rsidR="00BD61D8" w:rsidRPr="00BD61D8" w:rsidRDefault="00081201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8166" w14:textId="1CD7249C" w:rsidR="00BD61D8" w:rsidRPr="00BD61D8" w:rsidRDefault="00081201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31.800,00</w:t>
            </w:r>
          </w:p>
        </w:tc>
      </w:tr>
      <w:tr w:rsidR="00BD61D8" w:rsidRPr="00BD61D8" w14:paraId="6D07B8D4" w14:textId="77777777" w:rsidTr="0008120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D90FD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FF614" w14:textId="2AC39864" w:rsidR="00BD61D8" w:rsidRPr="00BD61D8" w:rsidRDefault="00CD3039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31A2" w14:textId="152163CF" w:rsidR="00BD61D8" w:rsidRPr="00BD61D8" w:rsidRDefault="00081201" w:rsidP="005201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8E0F" w14:textId="4593084D" w:rsidR="00BD61D8" w:rsidRPr="00081201" w:rsidRDefault="00081201" w:rsidP="00520164">
            <w:pPr>
              <w:tabs>
                <w:tab w:val="left" w:pos="820"/>
              </w:tabs>
              <w:ind w:right="40"/>
              <w:jc w:val="both"/>
              <w:rPr>
                <w:bCs/>
                <w:sz w:val="16"/>
                <w:szCs w:val="16"/>
              </w:rPr>
            </w:pPr>
            <w:r w:rsidRPr="00081201">
              <w:rPr>
                <w:bCs/>
                <w:sz w:val="16"/>
                <w:szCs w:val="16"/>
              </w:rPr>
              <w:t>SERVIÇOS</w:t>
            </w:r>
            <w:r>
              <w:rPr>
                <w:bCs/>
                <w:sz w:val="16"/>
                <w:szCs w:val="16"/>
              </w:rPr>
              <w:t xml:space="preserve"> CONFECÇÃO DE SARJETAS TRIANGULARES EM CONCRETO USINADO, AREIA E BRITA COMERCIAIS, NOS PADRÕES DNIT STC</w:t>
            </w:r>
            <w:r w:rsidR="009912A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02, COM UM METRO DE LARGURA, CONFORMADA</w:t>
            </w:r>
            <w:r w:rsidR="009912AB">
              <w:rPr>
                <w:bCs/>
                <w:sz w:val="16"/>
                <w:szCs w:val="16"/>
              </w:rPr>
              <w:t xml:space="preserve"> NO TALUDE, A CONTRATADA DEVERÁ REALIZAR A CONFORMAÇÃO MANUAL DO SOLO ESCAVADO OU IMPORTADO MECANICAMENTE NA VALA, A PREFEITURA REALIZARÁ O TRANSPORTE DO SOLO E A CON</w:t>
            </w:r>
            <w:bookmarkStart w:id="1" w:name="_GoBack"/>
            <w:bookmarkEnd w:id="1"/>
            <w:r w:rsidR="009912AB">
              <w:rPr>
                <w:bCs/>
                <w:sz w:val="16"/>
                <w:szCs w:val="16"/>
              </w:rPr>
              <w:t>FORMAÇÃO DA VALA COM RETROESCAVADEIRA. MAIS ESPECIFICAÇÕES CONFORME TERMO DE REFERÊNCIA.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8853" w14:textId="40B5876A" w:rsidR="00BD61D8" w:rsidRPr="00BD61D8" w:rsidRDefault="00081201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BECF" w14:textId="757312FB" w:rsidR="00BD61D8" w:rsidRPr="00BD61D8" w:rsidRDefault="00A50269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1</w:t>
            </w:r>
            <w:r w:rsidR="00081201">
              <w:rPr>
                <w:sz w:val="20"/>
                <w:szCs w:val="20"/>
              </w:rPr>
              <w:t>6</w:t>
            </w:r>
            <w:r w:rsidRPr="00BD61D8">
              <w:rPr>
                <w:sz w:val="20"/>
                <w:szCs w:val="20"/>
              </w:rPr>
              <w:t>0.000,00</w:t>
            </w:r>
          </w:p>
        </w:tc>
      </w:tr>
      <w:tr w:rsidR="00BD61D8" w:rsidRPr="00BD61D8" w14:paraId="0F92E277" w14:textId="77777777" w:rsidTr="00520164"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CCB60" w14:textId="30437B43" w:rsidR="00BD61D8" w:rsidRPr="00BD61D8" w:rsidRDefault="00BD61D8" w:rsidP="00520164">
            <w:pPr>
              <w:jc w:val="center"/>
              <w:rPr>
                <w:b/>
                <w:bCs/>
                <w:sz w:val="20"/>
                <w:szCs w:val="20"/>
              </w:rPr>
            </w:pPr>
            <w:r w:rsidRPr="000E4D6B">
              <w:rPr>
                <w:b/>
                <w:bCs/>
                <w:sz w:val="20"/>
                <w:szCs w:val="20"/>
              </w:rPr>
              <w:t>VALOR TOTAL DE ATÉ R$</w:t>
            </w:r>
            <w:r w:rsidR="009912AB" w:rsidRPr="000E4D6B">
              <w:rPr>
                <w:b/>
                <w:bCs/>
                <w:sz w:val="20"/>
                <w:szCs w:val="20"/>
              </w:rPr>
              <w:t xml:space="preserve"> 191.800,00</w:t>
            </w:r>
          </w:p>
        </w:tc>
      </w:tr>
    </w:tbl>
    <w:p w14:paraId="1106B8BD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49E9E567" w14:textId="77777777" w:rsidR="00BD61D8" w:rsidRPr="00BD61D8" w:rsidRDefault="00BD61D8" w:rsidP="00BD61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1289D8" w14:textId="1651F106" w:rsidR="00BD61D8" w:rsidRPr="000E4D6B" w:rsidRDefault="00BD61D8" w:rsidP="00BD61D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E4D6B">
        <w:rPr>
          <w:sz w:val="20"/>
          <w:szCs w:val="20"/>
        </w:rPr>
        <w:t>Em conformidade com o Edital os valores serão registrados no Sistema de Registro de Preços no departamento responsável, que poderá convocar, quando necessário, à celebração da</w:t>
      </w:r>
      <w:r w:rsidR="00CD3039" w:rsidRPr="000E4D6B">
        <w:rPr>
          <w:sz w:val="20"/>
          <w:szCs w:val="20"/>
        </w:rPr>
        <w:t>s</w:t>
      </w:r>
      <w:r w:rsidRPr="000E4D6B">
        <w:rPr>
          <w:sz w:val="20"/>
          <w:szCs w:val="20"/>
        </w:rPr>
        <w:t xml:space="preserve"> contratações decorrentes, mediante emissão de empenho, durante o período de vigência e nas condições do edital.</w:t>
      </w:r>
    </w:p>
    <w:p w14:paraId="3B3EECC0" w14:textId="77777777" w:rsidR="00BD61D8" w:rsidRPr="000E4D6B" w:rsidRDefault="00BD61D8" w:rsidP="00BD61D8">
      <w:pPr>
        <w:ind w:right="55"/>
        <w:jc w:val="both"/>
        <w:rPr>
          <w:b/>
          <w:sz w:val="20"/>
          <w:szCs w:val="20"/>
        </w:rPr>
      </w:pPr>
    </w:p>
    <w:p w14:paraId="780D4DF3" w14:textId="7DAA113E" w:rsidR="00BD61D8" w:rsidRPr="000E4D6B" w:rsidRDefault="00BD61D8" w:rsidP="00BD61D8">
      <w:pPr>
        <w:ind w:right="55"/>
        <w:jc w:val="both"/>
        <w:rPr>
          <w:sz w:val="20"/>
          <w:szCs w:val="20"/>
        </w:rPr>
      </w:pPr>
      <w:r w:rsidRPr="000E4D6B">
        <w:rPr>
          <w:b/>
          <w:sz w:val="20"/>
          <w:szCs w:val="20"/>
        </w:rPr>
        <w:t>GABINETE DO PREFEITO MUNICIPAL DE COTIPORÃ</w:t>
      </w:r>
      <w:r w:rsidRPr="000E4D6B">
        <w:rPr>
          <w:sz w:val="20"/>
          <w:szCs w:val="20"/>
        </w:rPr>
        <w:t>, ao</w:t>
      </w:r>
      <w:r w:rsidR="00680B28" w:rsidRPr="000E4D6B">
        <w:rPr>
          <w:sz w:val="20"/>
          <w:szCs w:val="20"/>
        </w:rPr>
        <w:t>s</w:t>
      </w:r>
      <w:r w:rsidRPr="000E4D6B">
        <w:rPr>
          <w:sz w:val="20"/>
          <w:szCs w:val="20"/>
        </w:rPr>
        <w:t xml:space="preserve"> </w:t>
      </w:r>
      <w:r w:rsidR="00680B28" w:rsidRPr="000E4D6B">
        <w:rPr>
          <w:sz w:val="20"/>
          <w:szCs w:val="20"/>
        </w:rPr>
        <w:t>vinte e um dias do mês de outubro de 2022</w:t>
      </w:r>
    </w:p>
    <w:p w14:paraId="022F470F" w14:textId="6AC5C0EB" w:rsidR="00BD61D8" w:rsidRPr="000E4D6B" w:rsidRDefault="00BD61D8" w:rsidP="00BD61D8">
      <w:pPr>
        <w:ind w:right="55"/>
        <w:jc w:val="both"/>
        <w:rPr>
          <w:sz w:val="20"/>
          <w:szCs w:val="20"/>
        </w:rPr>
      </w:pPr>
    </w:p>
    <w:p w14:paraId="1623F983" w14:textId="77777777" w:rsidR="00BD61D8" w:rsidRPr="000E4D6B" w:rsidRDefault="00BD61D8" w:rsidP="00BD61D8">
      <w:pPr>
        <w:ind w:right="55"/>
        <w:jc w:val="both"/>
        <w:rPr>
          <w:sz w:val="20"/>
          <w:szCs w:val="20"/>
        </w:rPr>
      </w:pPr>
    </w:p>
    <w:p w14:paraId="31745911" w14:textId="77777777" w:rsidR="00BD61D8" w:rsidRPr="000E4D6B" w:rsidRDefault="00BD61D8" w:rsidP="00BD61D8">
      <w:pPr>
        <w:ind w:right="55"/>
        <w:jc w:val="center"/>
        <w:rPr>
          <w:b/>
          <w:sz w:val="20"/>
          <w:szCs w:val="20"/>
        </w:rPr>
      </w:pPr>
    </w:p>
    <w:p w14:paraId="5789A955" w14:textId="77777777" w:rsidR="00BD61D8" w:rsidRPr="000E4D6B" w:rsidRDefault="00BD61D8" w:rsidP="00BD61D8">
      <w:pPr>
        <w:ind w:right="55"/>
        <w:jc w:val="center"/>
        <w:rPr>
          <w:i/>
          <w:sz w:val="20"/>
          <w:szCs w:val="20"/>
        </w:rPr>
      </w:pPr>
      <w:r w:rsidRPr="000E4D6B">
        <w:rPr>
          <w:b/>
          <w:i/>
          <w:sz w:val="20"/>
          <w:szCs w:val="20"/>
        </w:rPr>
        <w:t>IVELTON MATEUS ZARDO</w:t>
      </w:r>
    </w:p>
    <w:p w14:paraId="7EC5C58F" w14:textId="6C054EF9" w:rsidR="006F64E3" w:rsidRPr="00BD61D8" w:rsidRDefault="00BD61D8" w:rsidP="00714274">
      <w:pPr>
        <w:ind w:right="55"/>
        <w:jc w:val="center"/>
        <w:rPr>
          <w:sz w:val="20"/>
          <w:szCs w:val="20"/>
        </w:rPr>
      </w:pPr>
      <w:r w:rsidRPr="000E4D6B">
        <w:rPr>
          <w:sz w:val="20"/>
          <w:szCs w:val="20"/>
        </w:rPr>
        <w:t>Prefeito de Cotiporã</w:t>
      </w:r>
    </w:p>
    <w:sectPr w:rsidR="006F64E3" w:rsidRPr="00BD61D8" w:rsidSect="00FA422E">
      <w:headerReference w:type="default" r:id="rId7"/>
      <w:footerReference w:type="default" r:id="rId8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B76B" w14:textId="77777777" w:rsidR="00B65F03" w:rsidRDefault="00B65F03" w:rsidP="00965D67">
      <w:r>
        <w:separator/>
      </w:r>
    </w:p>
  </w:endnote>
  <w:endnote w:type="continuationSeparator" w:id="0">
    <w:p w14:paraId="74873082" w14:textId="77777777" w:rsidR="00B65F03" w:rsidRDefault="00B65F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E7EE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6CC7BD1" w14:textId="77777777" w:rsidR="00965D67" w:rsidRPr="0022793B" w:rsidRDefault="000E4D6B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3E3" w:rsidRPr="00B615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3E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0DB6B90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120A" w14:textId="77777777" w:rsidR="00B65F03" w:rsidRDefault="00B65F03" w:rsidP="00965D67">
      <w:r>
        <w:separator/>
      </w:r>
    </w:p>
  </w:footnote>
  <w:footnote w:type="continuationSeparator" w:id="0">
    <w:p w14:paraId="219CFEDD" w14:textId="77777777" w:rsidR="00B65F03" w:rsidRDefault="00B65F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E056" w14:textId="0CB7BD50" w:rsidR="00965D67" w:rsidRPr="00556FF5" w:rsidRDefault="00556FF5" w:rsidP="00556FF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3E6346C" wp14:editId="2D4CA08A">
          <wp:extent cx="5657222" cy="1316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8041" cy="131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81201"/>
    <w:rsid w:val="0008465D"/>
    <w:rsid w:val="0009762C"/>
    <w:rsid w:val="000B4053"/>
    <w:rsid w:val="000C6431"/>
    <w:rsid w:val="000C68A2"/>
    <w:rsid w:val="000E13CF"/>
    <w:rsid w:val="000E4D6B"/>
    <w:rsid w:val="000F5458"/>
    <w:rsid w:val="00120DED"/>
    <w:rsid w:val="0012624A"/>
    <w:rsid w:val="00134260"/>
    <w:rsid w:val="0019604B"/>
    <w:rsid w:val="001B2B15"/>
    <w:rsid w:val="001D4354"/>
    <w:rsid w:val="001E1672"/>
    <w:rsid w:val="001E75E5"/>
    <w:rsid w:val="002079E1"/>
    <w:rsid w:val="00216372"/>
    <w:rsid w:val="00221895"/>
    <w:rsid w:val="0022793B"/>
    <w:rsid w:val="0023218B"/>
    <w:rsid w:val="002327E9"/>
    <w:rsid w:val="002561B8"/>
    <w:rsid w:val="00261B06"/>
    <w:rsid w:val="00262171"/>
    <w:rsid w:val="002723C9"/>
    <w:rsid w:val="00286D6F"/>
    <w:rsid w:val="00290A50"/>
    <w:rsid w:val="002A0B0D"/>
    <w:rsid w:val="002B4451"/>
    <w:rsid w:val="002B7F91"/>
    <w:rsid w:val="00311DF6"/>
    <w:rsid w:val="00311ED2"/>
    <w:rsid w:val="0032056B"/>
    <w:rsid w:val="003316F5"/>
    <w:rsid w:val="00347B53"/>
    <w:rsid w:val="00353DD2"/>
    <w:rsid w:val="00354D0F"/>
    <w:rsid w:val="00395380"/>
    <w:rsid w:val="003A5F1A"/>
    <w:rsid w:val="003C2A24"/>
    <w:rsid w:val="003C4477"/>
    <w:rsid w:val="003D3431"/>
    <w:rsid w:val="003E0ADE"/>
    <w:rsid w:val="003F43FD"/>
    <w:rsid w:val="00400A4C"/>
    <w:rsid w:val="00432890"/>
    <w:rsid w:val="004438C6"/>
    <w:rsid w:val="00447C23"/>
    <w:rsid w:val="00453C38"/>
    <w:rsid w:val="00454C29"/>
    <w:rsid w:val="00464AFA"/>
    <w:rsid w:val="00483F84"/>
    <w:rsid w:val="00495094"/>
    <w:rsid w:val="004B13D9"/>
    <w:rsid w:val="004D4704"/>
    <w:rsid w:val="004F71B2"/>
    <w:rsid w:val="00501EDD"/>
    <w:rsid w:val="00532155"/>
    <w:rsid w:val="00532B41"/>
    <w:rsid w:val="00535013"/>
    <w:rsid w:val="00553DFF"/>
    <w:rsid w:val="00556FF5"/>
    <w:rsid w:val="005713CF"/>
    <w:rsid w:val="005725F4"/>
    <w:rsid w:val="005806AE"/>
    <w:rsid w:val="005A005C"/>
    <w:rsid w:val="005A04F5"/>
    <w:rsid w:val="005D28A8"/>
    <w:rsid w:val="005E1223"/>
    <w:rsid w:val="00603878"/>
    <w:rsid w:val="006167B2"/>
    <w:rsid w:val="00624D08"/>
    <w:rsid w:val="00632A01"/>
    <w:rsid w:val="00640269"/>
    <w:rsid w:val="00645899"/>
    <w:rsid w:val="00662227"/>
    <w:rsid w:val="0067203A"/>
    <w:rsid w:val="00673FFD"/>
    <w:rsid w:val="00680B28"/>
    <w:rsid w:val="00685999"/>
    <w:rsid w:val="0069266A"/>
    <w:rsid w:val="006A73ED"/>
    <w:rsid w:val="006B7312"/>
    <w:rsid w:val="006E7559"/>
    <w:rsid w:val="006F64E3"/>
    <w:rsid w:val="007070AD"/>
    <w:rsid w:val="00714274"/>
    <w:rsid w:val="00721635"/>
    <w:rsid w:val="00761CDE"/>
    <w:rsid w:val="007B100F"/>
    <w:rsid w:val="008408B0"/>
    <w:rsid w:val="0084175A"/>
    <w:rsid w:val="00850551"/>
    <w:rsid w:val="00860D78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912AB"/>
    <w:rsid w:val="009C1B34"/>
    <w:rsid w:val="009D14E6"/>
    <w:rsid w:val="009D38C5"/>
    <w:rsid w:val="00A2079B"/>
    <w:rsid w:val="00A24ABD"/>
    <w:rsid w:val="00A50269"/>
    <w:rsid w:val="00A55FFD"/>
    <w:rsid w:val="00A92BC3"/>
    <w:rsid w:val="00A931B1"/>
    <w:rsid w:val="00AA5DF1"/>
    <w:rsid w:val="00AC0A6F"/>
    <w:rsid w:val="00AC6A6D"/>
    <w:rsid w:val="00AC6D98"/>
    <w:rsid w:val="00AF1FD5"/>
    <w:rsid w:val="00B65F03"/>
    <w:rsid w:val="00B708C0"/>
    <w:rsid w:val="00B873E3"/>
    <w:rsid w:val="00BA3A10"/>
    <w:rsid w:val="00BB1854"/>
    <w:rsid w:val="00BB2B8B"/>
    <w:rsid w:val="00BB74BD"/>
    <w:rsid w:val="00BD61D8"/>
    <w:rsid w:val="00BF5282"/>
    <w:rsid w:val="00C11E2B"/>
    <w:rsid w:val="00C125C2"/>
    <w:rsid w:val="00C27341"/>
    <w:rsid w:val="00C44250"/>
    <w:rsid w:val="00C52F4D"/>
    <w:rsid w:val="00C54FE7"/>
    <w:rsid w:val="00C67593"/>
    <w:rsid w:val="00C712A1"/>
    <w:rsid w:val="00C7446C"/>
    <w:rsid w:val="00C81B5B"/>
    <w:rsid w:val="00C85192"/>
    <w:rsid w:val="00C87034"/>
    <w:rsid w:val="00C9689B"/>
    <w:rsid w:val="00CB5665"/>
    <w:rsid w:val="00CD07C2"/>
    <w:rsid w:val="00CD3039"/>
    <w:rsid w:val="00CD36C6"/>
    <w:rsid w:val="00CD5C18"/>
    <w:rsid w:val="00CE1C93"/>
    <w:rsid w:val="00CF40C3"/>
    <w:rsid w:val="00CF5A76"/>
    <w:rsid w:val="00D012E1"/>
    <w:rsid w:val="00D157C3"/>
    <w:rsid w:val="00D32921"/>
    <w:rsid w:val="00D530B7"/>
    <w:rsid w:val="00D54297"/>
    <w:rsid w:val="00D80239"/>
    <w:rsid w:val="00D86F0F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771E4"/>
    <w:rsid w:val="00E90362"/>
    <w:rsid w:val="00EB0952"/>
    <w:rsid w:val="00EC0872"/>
    <w:rsid w:val="00EE70D4"/>
    <w:rsid w:val="00F008D9"/>
    <w:rsid w:val="00F25922"/>
    <w:rsid w:val="00F26D9F"/>
    <w:rsid w:val="00F3554D"/>
    <w:rsid w:val="00F43936"/>
    <w:rsid w:val="00F521F5"/>
    <w:rsid w:val="00F7520E"/>
    <w:rsid w:val="00F87890"/>
    <w:rsid w:val="00F91D5A"/>
    <w:rsid w:val="00FA422E"/>
    <w:rsid w:val="00FB1E27"/>
    <w:rsid w:val="00FD3A68"/>
    <w:rsid w:val="00FE0A42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C2D090"/>
  <w15:docId w15:val="{F50FD13A-C88B-4145-B18A-617E34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UnresolvedMention">
    <w:name w:val="Unresolved Mention"/>
    <w:basedOn w:val="Fontepargpadro"/>
    <w:uiPriority w:val="99"/>
    <w:semiHidden/>
    <w:unhideWhenUsed/>
    <w:rsid w:val="00B8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4CEA9-4B51-43F8-8413-5795ADBD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77</cp:revision>
  <cp:lastPrinted>2021-06-30T19:21:00Z</cp:lastPrinted>
  <dcterms:created xsi:type="dcterms:W3CDTF">2015-01-20T10:04:00Z</dcterms:created>
  <dcterms:modified xsi:type="dcterms:W3CDTF">2022-10-20T17:59:00Z</dcterms:modified>
</cp:coreProperties>
</file>