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7F07F" w14:textId="0593D16A" w:rsidR="00EE360D" w:rsidRPr="004D526E" w:rsidRDefault="008408B0" w:rsidP="004D526E">
      <w:pPr>
        <w:ind w:left="284" w:right="338"/>
        <w:jc w:val="center"/>
        <w:rPr>
          <w:b/>
          <w:sz w:val="21"/>
          <w:szCs w:val="21"/>
        </w:rPr>
      </w:pPr>
      <w:r w:rsidRPr="004D526E">
        <w:rPr>
          <w:b/>
          <w:sz w:val="21"/>
          <w:szCs w:val="21"/>
        </w:rPr>
        <w:t>H O M O L O G A Ç Ã O</w:t>
      </w:r>
    </w:p>
    <w:p w14:paraId="77CD58D8" w14:textId="77777777" w:rsidR="005574CF" w:rsidRPr="004D526E" w:rsidRDefault="005574CF" w:rsidP="004D526E">
      <w:pPr>
        <w:pStyle w:val="Ttulo1"/>
        <w:spacing w:before="0"/>
        <w:ind w:right="55"/>
        <w:rPr>
          <w:rFonts w:ascii="Times New Roman" w:hAnsi="Times New Roman" w:cs="Times New Roman"/>
          <w:b w:val="0"/>
          <w:color w:val="auto"/>
          <w:sz w:val="21"/>
          <w:szCs w:val="21"/>
        </w:rPr>
      </w:pPr>
    </w:p>
    <w:p w14:paraId="05D0F861" w14:textId="3EF2F51B" w:rsidR="008408B0" w:rsidRDefault="008408B0" w:rsidP="004D526E">
      <w:pPr>
        <w:pStyle w:val="Ttulo1"/>
        <w:spacing w:before="0"/>
        <w:ind w:right="55"/>
        <w:rPr>
          <w:rFonts w:ascii="Times New Roman" w:hAnsi="Times New Roman" w:cs="Times New Roman"/>
          <w:b w:val="0"/>
          <w:color w:val="auto"/>
          <w:sz w:val="21"/>
          <w:szCs w:val="21"/>
        </w:rPr>
      </w:pPr>
      <w:r w:rsidRPr="004D526E">
        <w:rPr>
          <w:rFonts w:ascii="Times New Roman" w:hAnsi="Times New Roman" w:cs="Times New Roman"/>
          <w:b w:val="0"/>
          <w:color w:val="auto"/>
          <w:sz w:val="21"/>
          <w:szCs w:val="21"/>
        </w:rPr>
        <w:t>PREGÃO PRESENCIAL Nº</w:t>
      </w:r>
      <w:r w:rsidR="004D526E" w:rsidRPr="004D526E">
        <w:rPr>
          <w:rFonts w:ascii="Times New Roman" w:hAnsi="Times New Roman" w:cs="Times New Roman"/>
          <w:b w:val="0"/>
          <w:color w:val="auto"/>
          <w:sz w:val="21"/>
          <w:szCs w:val="21"/>
        </w:rPr>
        <w:t xml:space="preserve"> 044/2022</w:t>
      </w:r>
    </w:p>
    <w:p w14:paraId="09B1E2E8" w14:textId="77777777" w:rsidR="004D526E" w:rsidRPr="004D526E" w:rsidRDefault="004D526E" w:rsidP="004D526E"/>
    <w:p w14:paraId="3CD542A8" w14:textId="72820F2C" w:rsidR="008408B0" w:rsidRPr="004D526E" w:rsidRDefault="008408B0" w:rsidP="004D526E">
      <w:pPr>
        <w:ind w:right="55"/>
        <w:rPr>
          <w:sz w:val="21"/>
          <w:szCs w:val="21"/>
        </w:rPr>
      </w:pPr>
      <w:r w:rsidRPr="004D526E">
        <w:rPr>
          <w:sz w:val="21"/>
          <w:szCs w:val="21"/>
        </w:rPr>
        <w:t xml:space="preserve">Protocolo Administrativo nº </w:t>
      </w:r>
      <w:r w:rsidR="004D526E" w:rsidRPr="004D526E">
        <w:rPr>
          <w:sz w:val="21"/>
          <w:szCs w:val="21"/>
        </w:rPr>
        <w:t>1043/2022</w:t>
      </w:r>
    </w:p>
    <w:p w14:paraId="5C6B0152" w14:textId="77777777" w:rsidR="008408B0" w:rsidRPr="004D526E" w:rsidRDefault="008408B0" w:rsidP="004D526E">
      <w:pPr>
        <w:ind w:left="284" w:right="55"/>
        <w:rPr>
          <w:sz w:val="21"/>
          <w:szCs w:val="21"/>
        </w:rPr>
      </w:pPr>
    </w:p>
    <w:p w14:paraId="101E7BE9" w14:textId="45029422" w:rsidR="00F84385" w:rsidRPr="004D526E" w:rsidRDefault="008408B0" w:rsidP="004D526E">
      <w:pPr>
        <w:rPr>
          <w:bCs/>
          <w:sz w:val="21"/>
          <w:szCs w:val="21"/>
        </w:rPr>
      </w:pPr>
      <w:r w:rsidRPr="004D526E">
        <w:rPr>
          <w:sz w:val="21"/>
          <w:szCs w:val="21"/>
          <w:u w:val="single"/>
        </w:rPr>
        <w:t>Objeto</w:t>
      </w:r>
      <w:r w:rsidRPr="004D526E">
        <w:rPr>
          <w:sz w:val="21"/>
          <w:szCs w:val="21"/>
        </w:rPr>
        <w:t xml:space="preserve">: </w:t>
      </w:r>
      <w:r w:rsidR="0035396B" w:rsidRPr="004D526E">
        <w:rPr>
          <w:sz w:val="21"/>
          <w:szCs w:val="21"/>
        </w:rPr>
        <w:t>CONTRATAÇÃO DE EMPRESA ESPECIALIZADA PARA A DISPONIBILIZAÇÃO DE SERVIÇOS DE SAÚDE, A SEREM EXECUTAD</w:t>
      </w:r>
      <w:r w:rsidR="004D526E" w:rsidRPr="004D526E">
        <w:rPr>
          <w:sz w:val="21"/>
          <w:szCs w:val="21"/>
        </w:rPr>
        <w:t>O POR PROFISSIONAL FARMACEUTICO, DEVIDAMENTE HABILITADO</w:t>
      </w:r>
      <w:r w:rsidR="0035396B" w:rsidRPr="004D526E">
        <w:rPr>
          <w:sz w:val="21"/>
          <w:szCs w:val="21"/>
        </w:rPr>
        <w:t xml:space="preserve"> PARA ATENDER AS NECESSIDADES DA SECRETARIA MUNICIPAL DE SAUDE E ASSISTENCIA SOCIAL.</w:t>
      </w:r>
    </w:p>
    <w:p w14:paraId="7C845A4E" w14:textId="77777777" w:rsidR="00126D83" w:rsidRPr="004D526E" w:rsidRDefault="00126D83" w:rsidP="004D526E">
      <w:pPr>
        <w:pStyle w:val="Recuodecorpodetexto"/>
        <w:spacing w:after="0"/>
        <w:ind w:left="0"/>
        <w:rPr>
          <w:sz w:val="21"/>
          <w:szCs w:val="21"/>
        </w:rPr>
      </w:pPr>
    </w:p>
    <w:p w14:paraId="7C89592B" w14:textId="60FE5BD4" w:rsidR="008408B0" w:rsidRPr="004D526E" w:rsidRDefault="008408B0" w:rsidP="004D526E">
      <w:pPr>
        <w:ind w:right="55"/>
        <w:rPr>
          <w:sz w:val="21"/>
          <w:szCs w:val="21"/>
        </w:rPr>
      </w:pPr>
      <w:r w:rsidRPr="004D526E">
        <w:rPr>
          <w:sz w:val="21"/>
          <w:szCs w:val="21"/>
        </w:rPr>
        <w:t xml:space="preserve">Em ata datada de </w:t>
      </w:r>
      <w:r w:rsidR="004D526E" w:rsidRPr="004D526E">
        <w:rPr>
          <w:sz w:val="21"/>
          <w:szCs w:val="21"/>
        </w:rPr>
        <w:t>27/12</w:t>
      </w:r>
      <w:r w:rsidR="0035396B" w:rsidRPr="004D526E">
        <w:rPr>
          <w:sz w:val="21"/>
          <w:szCs w:val="21"/>
        </w:rPr>
        <w:t>/</w:t>
      </w:r>
      <w:r w:rsidR="00993FBE" w:rsidRPr="004D526E">
        <w:rPr>
          <w:sz w:val="21"/>
          <w:szCs w:val="21"/>
        </w:rPr>
        <w:t>2022</w:t>
      </w:r>
      <w:r w:rsidRPr="004D526E">
        <w:rPr>
          <w:sz w:val="21"/>
          <w:szCs w:val="21"/>
        </w:rPr>
        <w:t>, o Pregoeiro e Equipe de Apoio procedera a realização da sessão refere</w:t>
      </w:r>
      <w:r w:rsidR="00CF40C3" w:rsidRPr="004D526E">
        <w:rPr>
          <w:sz w:val="21"/>
          <w:szCs w:val="21"/>
        </w:rPr>
        <w:t xml:space="preserve">nte ao Pregão Presencial de nº </w:t>
      </w:r>
      <w:r w:rsidR="005479D2" w:rsidRPr="004D526E">
        <w:rPr>
          <w:sz w:val="21"/>
          <w:szCs w:val="21"/>
        </w:rPr>
        <w:t>0</w:t>
      </w:r>
      <w:r w:rsidR="004D526E" w:rsidRPr="004D526E">
        <w:rPr>
          <w:sz w:val="21"/>
          <w:szCs w:val="21"/>
        </w:rPr>
        <w:t>44</w:t>
      </w:r>
      <w:r w:rsidR="00993FBE" w:rsidRPr="004D526E">
        <w:rPr>
          <w:sz w:val="21"/>
          <w:szCs w:val="21"/>
        </w:rPr>
        <w:t>/2022</w:t>
      </w:r>
      <w:r w:rsidRPr="004D526E">
        <w:rPr>
          <w:sz w:val="21"/>
          <w:szCs w:val="21"/>
        </w:rPr>
        <w:t>, concluindo pela classificação da proposta e habilitação da licitante.</w:t>
      </w:r>
    </w:p>
    <w:p w14:paraId="3C2ECA1F" w14:textId="77777777" w:rsidR="00844340" w:rsidRPr="004D526E" w:rsidRDefault="00844340" w:rsidP="004D526E">
      <w:pPr>
        <w:ind w:right="55"/>
        <w:rPr>
          <w:sz w:val="21"/>
          <w:szCs w:val="21"/>
        </w:rPr>
      </w:pPr>
    </w:p>
    <w:p w14:paraId="6A0CD8B5" w14:textId="7E0F8B3B" w:rsidR="005574CF" w:rsidRPr="004D526E" w:rsidRDefault="00844340" w:rsidP="004D526E">
      <w:pPr>
        <w:ind w:right="55"/>
        <w:rPr>
          <w:sz w:val="21"/>
          <w:szCs w:val="21"/>
        </w:rPr>
      </w:pPr>
      <w:r w:rsidRPr="004D526E">
        <w:rPr>
          <w:sz w:val="21"/>
          <w:szCs w:val="21"/>
        </w:rPr>
        <w:t xml:space="preserve">Diante do que dispõe o art. 43, Inciso VI da lei Federal nº 8.666/93 e de acordo com o Edital, considerando o Termo de Adjudicação e o Parecer da Assessoria Jurídica do Município, </w:t>
      </w:r>
      <w:r w:rsidRPr="004D526E">
        <w:rPr>
          <w:b/>
          <w:sz w:val="21"/>
          <w:szCs w:val="21"/>
        </w:rPr>
        <w:t>HOMOLOGO</w:t>
      </w:r>
      <w:r w:rsidRPr="004D526E">
        <w:rPr>
          <w:sz w:val="21"/>
          <w:szCs w:val="21"/>
        </w:rPr>
        <w:t xml:space="preserve"> a classificação final e </w:t>
      </w:r>
      <w:r w:rsidRPr="004D526E">
        <w:rPr>
          <w:b/>
          <w:sz w:val="21"/>
          <w:szCs w:val="21"/>
        </w:rPr>
        <w:t>ADJUDICO</w:t>
      </w:r>
      <w:r w:rsidRPr="004D526E">
        <w:rPr>
          <w:sz w:val="21"/>
          <w:szCs w:val="21"/>
        </w:rPr>
        <w:t xml:space="preserve"> o objeto do presente certame considerando vencedora a seguinte licitante, no item e valor conforme segue:</w:t>
      </w:r>
    </w:p>
    <w:p w14:paraId="355D4720" w14:textId="77777777" w:rsidR="007D476E" w:rsidRPr="004D526E" w:rsidRDefault="007D476E" w:rsidP="004D526E">
      <w:pPr>
        <w:ind w:right="55"/>
        <w:rPr>
          <w:sz w:val="21"/>
          <w:szCs w:val="21"/>
        </w:rPr>
      </w:pPr>
    </w:p>
    <w:tbl>
      <w:tblPr>
        <w:tblW w:w="1049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1417"/>
        <w:gridCol w:w="4395"/>
        <w:gridCol w:w="850"/>
        <w:gridCol w:w="1276"/>
        <w:gridCol w:w="1276"/>
      </w:tblGrid>
      <w:tr w:rsidR="00DA61A1" w:rsidRPr="004D526E" w14:paraId="1D6162B1" w14:textId="77777777" w:rsidTr="00B012E4">
        <w:trPr>
          <w:cantSplit/>
          <w:trHeight w:val="252"/>
        </w:trPr>
        <w:tc>
          <w:tcPr>
            <w:tcW w:w="10490" w:type="dxa"/>
            <w:gridSpan w:val="7"/>
            <w:tcBorders>
              <w:top w:val="single" w:sz="12" w:space="0" w:color="auto"/>
              <w:left w:val="single" w:sz="12" w:space="0" w:color="auto"/>
              <w:right w:val="single" w:sz="18" w:space="0" w:color="auto"/>
            </w:tcBorders>
          </w:tcPr>
          <w:p w14:paraId="0904EF6A" w14:textId="5BCF6E8A" w:rsidR="00DA61A1" w:rsidRPr="004D526E" w:rsidRDefault="00DA61A1" w:rsidP="00005018">
            <w:pPr>
              <w:spacing w:after="200" w:line="276" w:lineRule="auto"/>
              <w:jc w:val="center"/>
              <w:rPr>
                <w:b/>
                <w:sz w:val="21"/>
                <w:szCs w:val="21"/>
              </w:rPr>
            </w:pPr>
            <w:r w:rsidRPr="004D526E">
              <w:rPr>
                <w:b/>
                <w:sz w:val="21"/>
                <w:szCs w:val="21"/>
              </w:rPr>
              <w:t xml:space="preserve">A S </w:t>
            </w:r>
            <w:r w:rsidR="00005018">
              <w:rPr>
                <w:b/>
                <w:sz w:val="21"/>
                <w:szCs w:val="21"/>
              </w:rPr>
              <w:t xml:space="preserve">CONFIANCE LTDA ME </w:t>
            </w:r>
            <w:bookmarkStart w:id="0" w:name="_GoBack"/>
            <w:bookmarkEnd w:id="0"/>
            <w:r w:rsidRPr="004D526E">
              <w:rPr>
                <w:b/>
                <w:sz w:val="21"/>
                <w:szCs w:val="21"/>
              </w:rPr>
              <w:t>CNPJ Nº 29.710.185/0001-00</w:t>
            </w:r>
          </w:p>
        </w:tc>
      </w:tr>
      <w:tr w:rsidR="0035396B" w:rsidRPr="004D526E" w14:paraId="642BCDD2" w14:textId="1D60EE18" w:rsidTr="004D526E">
        <w:trPr>
          <w:cantSplit/>
          <w:trHeight w:val="252"/>
        </w:trPr>
        <w:tc>
          <w:tcPr>
            <w:tcW w:w="709" w:type="dxa"/>
            <w:vMerge w:val="restart"/>
            <w:tcBorders>
              <w:top w:val="single" w:sz="12" w:space="0" w:color="auto"/>
              <w:left w:val="single" w:sz="12" w:space="0" w:color="auto"/>
              <w:right w:val="single" w:sz="12" w:space="0" w:color="auto"/>
            </w:tcBorders>
          </w:tcPr>
          <w:p w14:paraId="503E3942" w14:textId="77777777" w:rsidR="0035396B" w:rsidRPr="004D526E" w:rsidRDefault="0035396B" w:rsidP="004D526E">
            <w:pPr>
              <w:pStyle w:val="Cabealho"/>
              <w:rPr>
                <w:rFonts w:ascii="Times New Roman" w:hAnsi="Times New Roman" w:cs="Times New Roman"/>
                <w:b/>
                <w:sz w:val="21"/>
                <w:szCs w:val="21"/>
              </w:rPr>
            </w:pPr>
          </w:p>
          <w:p w14:paraId="7E278C10" w14:textId="77777777" w:rsidR="0035396B" w:rsidRPr="004D526E" w:rsidRDefault="0035396B" w:rsidP="004D526E">
            <w:pPr>
              <w:pStyle w:val="Cabealho"/>
              <w:rPr>
                <w:rFonts w:ascii="Times New Roman" w:hAnsi="Times New Roman" w:cs="Times New Roman"/>
                <w:b/>
                <w:sz w:val="21"/>
                <w:szCs w:val="21"/>
              </w:rPr>
            </w:pPr>
            <w:r w:rsidRPr="004D526E">
              <w:rPr>
                <w:rFonts w:ascii="Times New Roman" w:hAnsi="Times New Roman" w:cs="Times New Roman"/>
                <w:b/>
                <w:sz w:val="21"/>
                <w:szCs w:val="21"/>
              </w:rPr>
              <w:t>ITEM</w:t>
            </w:r>
          </w:p>
        </w:tc>
        <w:tc>
          <w:tcPr>
            <w:tcW w:w="567" w:type="dxa"/>
            <w:vMerge w:val="restart"/>
            <w:tcBorders>
              <w:top w:val="single" w:sz="12" w:space="0" w:color="auto"/>
              <w:left w:val="single" w:sz="12" w:space="0" w:color="auto"/>
              <w:right w:val="single" w:sz="12" w:space="0" w:color="auto"/>
            </w:tcBorders>
          </w:tcPr>
          <w:p w14:paraId="4E354204" w14:textId="77777777" w:rsidR="0035396B" w:rsidRPr="004D526E" w:rsidRDefault="0035396B" w:rsidP="004D526E">
            <w:pPr>
              <w:rPr>
                <w:b/>
                <w:sz w:val="21"/>
                <w:szCs w:val="21"/>
              </w:rPr>
            </w:pPr>
          </w:p>
          <w:p w14:paraId="6C326533" w14:textId="77777777" w:rsidR="0035396B" w:rsidRPr="004D526E" w:rsidRDefault="0035396B" w:rsidP="004D526E">
            <w:pPr>
              <w:rPr>
                <w:b/>
                <w:sz w:val="21"/>
                <w:szCs w:val="21"/>
              </w:rPr>
            </w:pPr>
            <w:r w:rsidRPr="004D526E">
              <w:rPr>
                <w:b/>
                <w:sz w:val="21"/>
                <w:szCs w:val="21"/>
              </w:rPr>
              <w:t>UN.</w:t>
            </w:r>
          </w:p>
        </w:tc>
        <w:tc>
          <w:tcPr>
            <w:tcW w:w="1417" w:type="dxa"/>
            <w:vMerge w:val="restart"/>
            <w:tcBorders>
              <w:top w:val="single" w:sz="12" w:space="0" w:color="auto"/>
              <w:left w:val="single" w:sz="12" w:space="0" w:color="auto"/>
              <w:right w:val="single" w:sz="12" w:space="0" w:color="auto"/>
            </w:tcBorders>
          </w:tcPr>
          <w:p w14:paraId="646135E2" w14:textId="77777777" w:rsidR="0035396B" w:rsidRPr="004D526E" w:rsidRDefault="0035396B" w:rsidP="004D526E">
            <w:pPr>
              <w:rPr>
                <w:b/>
                <w:sz w:val="21"/>
                <w:szCs w:val="21"/>
              </w:rPr>
            </w:pPr>
          </w:p>
          <w:p w14:paraId="005D0FB9" w14:textId="3AECA0B3" w:rsidR="0035396B" w:rsidRPr="004D526E" w:rsidRDefault="0035396B" w:rsidP="004D526E">
            <w:pPr>
              <w:jc w:val="center"/>
              <w:rPr>
                <w:b/>
                <w:sz w:val="21"/>
                <w:szCs w:val="21"/>
              </w:rPr>
            </w:pPr>
            <w:r w:rsidRPr="004D526E">
              <w:rPr>
                <w:b/>
                <w:sz w:val="21"/>
                <w:szCs w:val="21"/>
              </w:rPr>
              <w:t>QUANT. ESTIMADA</w:t>
            </w:r>
            <w:r w:rsidR="004D526E" w:rsidRPr="004D526E">
              <w:rPr>
                <w:b/>
                <w:sz w:val="21"/>
                <w:szCs w:val="21"/>
              </w:rPr>
              <w:t xml:space="preserve"> ATÉ</w:t>
            </w:r>
          </w:p>
        </w:tc>
        <w:tc>
          <w:tcPr>
            <w:tcW w:w="4395" w:type="dxa"/>
            <w:vMerge w:val="restart"/>
            <w:tcBorders>
              <w:top w:val="single" w:sz="18" w:space="0" w:color="auto"/>
              <w:left w:val="single" w:sz="12" w:space="0" w:color="auto"/>
              <w:bottom w:val="single" w:sz="12" w:space="0" w:color="auto"/>
              <w:right w:val="single" w:sz="12" w:space="0" w:color="auto"/>
            </w:tcBorders>
          </w:tcPr>
          <w:p w14:paraId="0D30DFE9" w14:textId="77777777" w:rsidR="0035396B" w:rsidRPr="004D526E" w:rsidRDefault="0035396B" w:rsidP="004D526E">
            <w:pPr>
              <w:rPr>
                <w:b/>
                <w:sz w:val="21"/>
                <w:szCs w:val="21"/>
              </w:rPr>
            </w:pPr>
          </w:p>
          <w:p w14:paraId="270AADDD" w14:textId="77777777" w:rsidR="0035396B" w:rsidRPr="004D526E" w:rsidRDefault="0035396B" w:rsidP="004D526E">
            <w:pPr>
              <w:jc w:val="center"/>
              <w:rPr>
                <w:b/>
                <w:sz w:val="21"/>
                <w:szCs w:val="21"/>
              </w:rPr>
            </w:pPr>
            <w:r w:rsidRPr="004D526E">
              <w:rPr>
                <w:b/>
                <w:sz w:val="21"/>
                <w:szCs w:val="21"/>
              </w:rPr>
              <w:t>DESCRIÇÃO</w:t>
            </w:r>
          </w:p>
        </w:tc>
        <w:tc>
          <w:tcPr>
            <w:tcW w:w="3402" w:type="dxa"/>
            <w:gridSpan w:val="3"/>
            <w:tcBorders>
              <w:top w:val="single" w:sz="18" w:space="0" w:color="auto"/>
              <w:bottom w:val="single" w:sz="18" w:space="0" w:color="auto"/>
              <w:right w:val="single" w:sz="18" w:space="0" w:color="auto"/>
            </w:tcBorders>
            <w:shd w:val="clear" w:color="auto" w:fill="auto"/>
          </w:tcPr>
          <w:p w14:paraId="2A9ACF63" w14:textId="59A58729" w:rsidR="0035396B" w:rsidRPr="004D526E" w:rsidRDefault="0035396B" w:rsidP="004D526E">
            <w:pPr>
              <w:spacing w:after="200" w:line="276" w:lineRule="auto"/>
              <w:jc w:val="center"/>
              <w:rPr>
                <w:b/>
                <w:sz w:val="21"/>
                <w:szCs w:val="21"/>
              </w:rPr>
            </w:pPr>
            <w:r w:rsidRPr="004D526E">
              <w:rPr>
                <w:b/>
                <w:sz w:val="21"/>
                <w:szCs w:val="21"/>
              </w:rPr>
              <w:t>Valor R$</w:t>
            </w:r>
          </w:p>
        </w:tc>
      </w:tr>
      <w:tr w:rsidR="0035396B" w:rsidRPr="004D526E" w14:paraId="52A5FB0E" w14:textId="729EE456" w:rsidTr="004D526E">
        <w:trPr>
          <w:cantSplit/>
          <w:trHeight w:val="111"/>
        </w:trPr>
        <w:tc>
          <w:tcPr>
            <w:tcW w:w="709" w:type="dxa"/>
            <w:vMerge/>
            <w:tcBorders>
              <w:left w:val="single" w:sz="12" w:space="0" w:color="auto"/>
              <w:bottom w:val="single" w:sz="12" w:space="0" w:color="auto"/>
              <w:right w:val="single" w:sz="12" w:space="0" w:color="auto"/>
            </w:tcBorders>
          </w:tcPr>
          <w:p w14:paraId="7F83D564" w14:textId="77777777" w:rsidR="0035396B" w:rsidRPr="004D526E" w:rsidRDefault="0035396B" w:rsidP="004D526E">
            <w:pPr>
              <w:pStyle w:val="Cabealho"/>
              <w:rPr>
                <w:rFonts w:ascii="Times New Roman" w:hAnsi="Times New Roman" w:cs="Times New Roman"/>
                <w:b/>
                <w:sz w:val="21"/>
                <w:szCs w:val="21"/>
              </w:rPr>
            </w:pPr>
          </w:p>
        </w:tc>
        <w:tc>
          <w:tcPr>
            <w:tcW w:w="567" w:type="dxa"/>
            <w:vMerge/>
            <w:tcBorders>
              <w:left w:val="single" w:sz="12" w:space="0" w:color="auto"/>
              <w:bottom w:val="single" w:sz="12" w:space="0" w:color="auto"/>
              <w:right w:val="single" w:sz="12" w:space="0" w:color="auto"/>
            </w:tcBorders>
          </w:tcPr>
          <w:p w14:paraId="7F9E50F0" w14:textId="77777777" w:rsidR="0035396B" w:rsidRPr="004D526E" w:rsidRDefault="0035396B" w:rsidP="004D526E">
            <w:pPr>
              <w:rPr>
                <w:b/>
                <w:sz w:val="21"/>
                <w:szCs w:val="21"/>
              </w:rPr>
            </w:pPr>
          </w:p>
        </w:tc>
        <w:tc>
          <w:tcPr>
            <w:tcW w:w="1417" w:type="dxa"/>
            <w:vMerge/>
            <w:tcBorders>
              <w:left w:val="single" w:sz="12" w:space="0" w:color="auto"/>
              <w:bottom w:val="single" w:sz="12" w:space="0" w:color="auto"/>
              <w:right w:val="single" w:sz="12" w:space="0" w:color="auto"/>
            </w:tcBorders>
          </w:tcPr>
          <w:p w14:paraId="779411E0" w14:textId="77777777" w:rsidR="0035396B" w:rsidRPr="004D526E" w:rsidRDefault="0035396B" w:rsidP="004D526E">
            <w:pPr>
              <w:rPr>
                <w:b/>
                <w:sz w:val="21"/>
                <w:szCs w:val="21"/>
              </w:rPr>
            </w:pPr>
          </w:p>
        </w:tc>
        <w:tc>
          <w:tcPr>
            <w:tcW w:w="4395" w:type="dxa"/>
            <w:vMerge/>
            <w:tcBorders>
              <w:left w:val="single" w:sz="12" w:space="0" w:color="auto"/>
              <w:bottom w:val="single" w:sz="12" w:space="0" w:color="auto"/>
              <w:right w:val="single" w:sz="12" w:space="0" w:color="auto"/>
            </w:tcBorders>
          </w:tcPr>
          <w:p w14:paraId="067EC6F9" w14:textId="77777777" w:rsidR="0035396B" w:rsidRPr="004D526E" w:rsidRDefault="0035396B" w:rsidP="004D526E">
            <w:pPr>
              <w:rPr>
                <w:b/>
                <w:sz w:val="21"/>
                <w:szCs w:val="21"/>
              </w:rPr>
            </w:pPr>
          </w:p>
        </w:tc>
        <w:tc>
          <w:tcPr>
            <w:tcW w:w="850" w:type="dxa"/>
            <w:tcBorders>
              <w:top w:val="single" w:sz="18" w:space="0" w:color="auto"/>
              <w:left w:val="single" w:sz="12" w:space="0" w:color="auto"/>
              <w:bottom w:val="single" w:sz="12" w:space="0" w:color="auto"/>
              <w:right w:val="single" w:sz="12" w:space="0" w:color="auto"/>
            </w:tcBorders>
          </w:tcPr>
          <w:p w14:paraId="5548A6B3" w14:textId="01B754AB" w:rsidR="0035396B" w:rsidRPr="004D526E" w:rsidRDefault="0035396B" w:rsidP="004D526E">
            <w:pPr>
              <w:jc w:val="center"/>
              <w:rPr>
                <w:b/>
                <w:sz w:val="21"/>
                <w:szCs w:val="21"/>
              </w:rPr>
            </w:pPr>
            <w:r w:rsidRPr="004D526E">
              <w:rPr>
                <w:b/>
                <w:sz w:val="21"/>
                <w:szCs w:val="21"/>
              </w:rPr>
              <w:t>UNIT.</w:t>
            </w:r>
          </w:p>
        </w:tc>
        <w:tc>
          <w:tcPr>
            <w:tcW w:w="1276" w:type="dxa"/>
            <w:tcBorders>
              <w:top w:val="single" w:sz="18" w:space="0" w:color="auto"/>
              <w:left w:val="single" w:sz="12" w:space="0" w:color="auto"/>
              <w:bottom w:val="single" w:sz="12" w:space="0" w:color="auto"/>
              <w:right w:val="single" w:sz="18" w:space="0" w:color="auto"/>
            </w:tcBorders>
          </w:tcPr>
          <w:p w14:paraId="5F301517" w14:textId="251A2CD8" w:rsidR="0035396B" w:rsidRPr="004D526E" w:rsidRDefault="0035396B" w:rsidP="004D526E">
            <w:pPr>
              <w:jc w:val="center"/>
              <w:rPr>
                <w:b/>
                <w:sz w:val="21"/>
                <w:szCs w:val="21"/>
              </w:rPr>
            </w:pPr>
            <w:r w:rsidRPr="004D526E">
              <w:rPr>
                <w:b/>
                <w:sz w:val="21"/>
                <w:szCs w:val="21"/>
              </w:rPr>
              <w:t>TOTAL MENSAL DE ATÉ</w:t>
            </w:r>
          </w:p>
        </w:tc>
        <w:tc>
          <w:tcPr>
            <w:tcW w:w="1276" w:type="dxa"/>
            <w:tcBorders>
              <w:top w:val="single" w:sz="18" w:space="0" w:color="auto"/>
              <w:left w:val="single" w:sz="18" w:space="0" w:color="auto"/>
              <w:bottom w:val="single" w:sz="12" w:space="0" w:color="auto"/>
              <w:right w:val="single" w:sz="18" w:space="0" w:color="auto"/>
            </w:tcBorders>
          </w:tcPr>
          <w:p w14:paraId="54AAA6F6" w14:textId="54BD6B24" w:rsidR="0035396B" w:rsidRPr="004D526E" w:rsidRDefault="0035396B" w:rsidP="004D526E">
            <w:pPr>
              <w:jc w:val="center"/>
              <w:rPr>
                <w:b/>
                <w:sz w:val="21"/>
                <w:szCs w:val="21"/>
              </w:rPr>
            </w:pPr>
            <w:r w:rsidRPr="004D526E">
              <w:rPr>
                <w:b/>
                <w:sz w:val="21"/>
                <w:szCs w:val="21"/>
              </w:rPr>
              <w:t>TOTAL ANUAL DE ATÉ</w:t>
            </w:r>
          </w:p>
        </w:tc>
      </w:tr>
      <w:tr w:rsidR="0035396B" w:rsidRPr="004D526E" w14:paraId="0D026DD3" w14:textId="0E5AD980" w:rsidTr="004D526E">
        <w:tc>
          <w:tcPr>
            <w:tcW w:w="709" w:type="dxa"/>
            <w:tcBorders>
              <w:top w:val="single" w:sz="12" w:space="0" w:color="auto"/>
              <w:left w:val="single" w:sz="12" w:space="0" w:color="auto"/>
              <w:bottom w:val="single" w:sz="18" w:space="0" w:color="auto"/>
              <w:right w:val="single" w:sz="12" w:space="0" w:color="auto"/>
            </w:tcBorders>
          </w:tcPr>
          <w:p w14:paraId="449D30E9" w14:textId="77777777" w:rsidR="0035396B" w:rsidRPr="004D526E" w:rsidRDefault="0035396B" w:rsidP="004D526E">
            <w:pPr>
              <w:jc w:val="center"/>
              <w:rPr>
                <w:sz w:val="21"/>
                <w:szCs w:val="21"/>
              </w:rPr>
            </w:pPr>
            <w:r w:rsidRPr="004D526E">
              <w:rPr>
                <w:sz w:val="21"/>
                <w:szCs w:val="21"/>
              </w:rPr>
              <w:t>01</w:t>
            </w:r>
          </w:p>
        </w:tc>
        <w:tc>
          <w:tcPr>
            <w:tcW w:w="567" w:type="dxa"/>
            <w:tcBorders>
              <w:top w:val="single" w:sz="12" w:space="0" w:color="auto"/>
              <w:left w:val="single" w:sz="12" w:space="0" w:color="auto"/>
              <w:bottom w:val="single" w:sz="18" w:space="0" w:color="auto"/>
              <w:right w:val="single" w:sz="12" w:space="0" w:color="auto"/>
            </w:tcBorders>
          </w:tcPr>
          <w:p w14:paraId="5D6A38E7" w14:textId="77777777" w:rsidR="0035396B" w:rsidRPr="004D526E" w:rsidRDefault="0035396B" w:rsidP="004D526E">
            <w:pPr>
              <w:rPr>
                <w:sz w:val="21"/>
                <w:szCs w:val="21"/>
              </w:rPr>
            </w:pPr>
            <w:r w:rsidRPr="004D526E">
              <w:rPr>
                <w:sz w:val="21"/>
                <w:szCs w:val="21"/>
              </w:rPr>
              <w:t>Hora</w:t>
            </w:r>
          </w:p>
        </w:tc>
        <w:tc>
          <w:tcPr>
            <w:tcW w:w="1417" w:type="dxa"/>
            <w:tcBorders>
              <w:top w:val="single" w:sz="12" w:space="0" w:color="auto"/>
              <w:left w:val="single" w:sz="12" w:space="0" w:color="auto"/>
              <w:bottom w:val="single" w:sz="18" w:space="0" w:color="auto"/>
              <w:right w:val="single" w:sz="12" w:space="0" w:color="auto"/>
            </w:tcBorders>
          </w:tcPr>
          <w:p w14:paraId="15B5B5C9" w14:textId="7137CADB" w:rsidR="0035396B" w:rsidRPr="004D526E" w:rsidRDefault="004D526E" w:rsidP="004D526E">
            <w:pPr>
              <w:rPr>
                <w:b/>
                <w:sz w:val="21"/>
                <w:szCs w:val="21"/>
              </w:rPr>
            </w:pPr>
            <w:r w:rsidRPr="004D526E">
              <w:rPr>
                <w:sz w:val="21"/>
                <w:szCs w:val="21"/>
              </w:rPr>
              <w:t>200 HORAS MENSAIS</w:t>
            </w:r>
          </w:p>
        </w:tc>
        <w:tc>
          <w:tcPr>
            <w:tcW w:w="4395" w:type="dxa"/>
            <w:tcBorders>
              <w:top w:val="single" w:sz="12" w:space="0" w:color="auto"/>
              <w:left w:val="single" w:sz="12" w:space="0" w:color="auto"/>
              <w:bottom w:val="single" w:sz="18" w:space="0" w:color="auto"/>
              <w:right w:val="single" w:sz="12" w:space="0" w:color="auto"/>
            </w:tcBorders>
          </w:tcPr>
          <w:p w14:paraId="2D104783" w14:textId="77777777" w:rsidR="004D526E" w:rsidRPr="004D526E" w:rsidRDefault="004D526E" w:rsidP="004D526E">
            <w:pPr>
              <w:jc w:val="both"/>
              <w:rPr>
                <w:sz w:val="21"/>
                <w:szCs w:val="21"/>
              </w:rPr>
            </w:pPr>
            <w:r w:rsidRPr="004D526E">
              <w:rPr>
                <w:sz w:val="21"/>
                <w:szCs w:val="21"/>
              </w:rPr>
              <w:t>Prestação de serviços de farmacêutico a ser executado por 01(um) profissional devidamente habilitado, para desenvolver atividades correspondentes à sua respectiva formação,  para atendimento junto a Unidade Básica de Saúde.</w:t>
            </w:r>
          </w:p>
          <w:p w14:paraId="770B9DFB" w14:textId="649437F7" w:rsidR="0035396B" w:rsidRPr="004D526E" w:rsidRDefault="004D526E" w:rsidP="004D526E">
            <w:pPr>
              <w:jc w:val="both"/>
              <w:rPr>
                <w:sz w:val="21"/>
                <w:szCs w:val="21"/>
              </w:rPr>
            </w:pPr>
            <w:r w:rsidRPr="004D526E">
              <w:rPr>
                <w:sz w:val="21"/>
                <w:szCs w:val="21"/>
              </w:rPr>
              <w:t>A prestação de serviços deverá ocorrer de forma presencial, compreendendo uma carga horária de até 08 horas diárias, máximo de até 40 horas semanais, podendo chegar até 200 horas mensais, prestadas pelo mesmo profissional, de acordo com a necessidade da Secretaria Municipal de Saúde e Assistência Social do município, conforme escala previamente definida pela mesma.</w:t>
            </w:r>
          </w:p>
        </w:tc>
        <w:tc>
          <w:tcPr>
            <w:tcW w:w="850" w:type="dxa"/>
            <w:tcBorders>
              <w:top w:val="single" w:sz="12" w:space="0" w:color="auto"/>
              <w:left w:val="single" w:sz="12" w:space="0" w:color="auto"/>
              <w:bottom w:val="single" w:sz="18" w:space="0" w:color="auto"/>
              <w:right w:val="single" w:sz="12" w:space="0" w:color="auto"/>
            </w:tcBorders>
          </w:tcPr>
          <w:p w14:paraId="2F13076F" w14:textId="300E5D18" w:rsidR="0035396B" w:rsidRPr="004D526E" w:rsidRDefault="004D526E" w:rsidP="004D526E">
            <w:pPr>
              <w:jc w:val="center"/>
              <w:rPr>
                <w:sz w:val="21"/>
                <w:szCs w:val="21"/>
              </w:rPr>
            </w:pPr>
            <w:r w:rsidRPr="004D526E">
              <w:rPr>
                <w:sz w:val="21"/>
                <w:szCs w:val="21"/>
              </w:rPr>
              <w:t>53,00</w:t>
            </w:r>
          </w:p>
        </w:tc>
        <w:tc>
          <w:tcPr>
            <w:tcW w:w="1276" w:type="dxa"/>
            <w:tcBorders>
              <w:top w:val="single" w:sz="12" w:space="0" w:color="auto"/>
              <w:left w:val="single" w:sz="12" w:space="0" w:color="auto"/>
              <w:bottom w:val="single" w:sz="18" w:space="0" w:color="auto"/>
              <w:right w:val="single" w:sz="18" w:space="0" w:color="auto"/>
            </w:tcBorders>
          </w:tcPr>
          <w:p w14:paraId="0810F137" w14:textId="309A22B7" w:rsidR="0035396B" w:rsidRPr="004D526E" w:rsidRDefault="004D526E" w:rsidP="004D526E">
            <w:pPr>
              <w:jc w:val="center"/>
              <w:rPr>
                <w:sz w:val="21"/>
                <w:szCs w:val="21"/>
              </w:rPr>
            </w:pPr>
            <w:r w:rsidRPr="004D526E">
              <w:rPr>
                <w:sz w:val="21"/>
                <w:szCs w:val="21"/>
              </w:rPr>
              <w:t>10.600,00</w:t>
            </w:r>
          </w:p>
        </w:tc>
        <w:tc>
          <w:tcPr>
            <w:tcW w:w="1276" w:type="dxa"/>
            <w:tcBorders>
              <w:top w:val="single" w:sz="12" w:space="0" w:color="auto"/>
              <w:left w:val="single" w:sz="18" w:space="0" w:color="auto"/>
              <w:bottom w:val="single" w:sz="18" w:space="0" w:color="auto"/>
              <w:right w:val="single" w:sz="18" w:space="0" w:color="auto"/>
            </w:tcBorders>
          </w:tcPr>
          <w:p w14:paraId="4E56BECE" w14:textId="028D6C28" w:rsidR="0035396B" w:rsidRPr="004D526E" w:rsidRDefault="004D526E" w:rsidP="004D526E">
            <w:pPr>
              <w:jc w:val="center"/>
              <w:rPr>
                <w:sz w:val="21"/>
                <w:szCs w:val="21"/>
              </w:rPr>
            </w:pPr>
            <w:r w:rsidRPr="004D526E">
              <w:rPr>
                <w:sz w:val="21"/>
                <w:szCs w:val="21"/>
              </w:rPr>
              <w:t>127.200,00</w:t>
            </w:r>
          </w:p>
        </w:tc>
      </w:tr>
    </w:tbl>
    <w:p w14:paraId="7E93208B" w14:textId="77777777" w:rsidR="00297F61" w:rsidRPr="004D526E" w:rsidRDefault="00297F61" w:rsidP="004D526E">
      <w:pPr>
        <w:tabs>
          <w:tab w:val="left" w:pos="2127"/>
        </w:tabs>
        <w:ind w:firstLine="1418"/>
        <w:rPr>
          <w:sz w:val="21"/>
          <w:szCs w:val="21"/>
        </w:rPr>
      </w:pPr>
    </w:p>
    <w:p w14:paraId="0CA7AE33" w14:textId="38B3A4BC" w:rsidR="00EE360D" w:rsidRPr="004D526E" w:rsidRDefault="006E148B" w:rsidP="004D526E">
      <w:pPr>
        <w:pStyle w:val="Corpodetexto"/>
        <w:tabs>
          <w:tab w:val="left" w:pos="0"/>
        </w:tabs>
        <w:spacing w:after="0"/>
        <w:rPr>
          <w:b/>
          <w:sz w:val="21"/>
          <w:szCs w:val="21"/>
        </w:rPr>
      </w:pPr>
      <w:r w:rsidRPr="004D526E">
        <w:rPr>
          <w:sz w:val="21"/>
          <w:szCs w:val="21"/>
        </w:rPr>
        <w:t xml:space="preserve">Em conformidade com o Edital deverá prestar os serviços conforme descrição no objeto do Pregão </w:t>
      </w:r>
      <w:r w:rsidR="004D526E" w:rsidRPr="004D526E">
        <w:rPr>
          <w:sz w:val="21"/>
          <w:szCs w:val="21"/>
        </w:rPr>
        <w:t>Presencial 044</w:t>
      </w:r>
      <w:r w:rsidRPr="004D526E">
        <w:rPr>
          <w:sz w:val="21"/>
          <w:szCs w:val="21"/>
        </w:rPr>
        <w:t>/2022. O pagamento será efetuado até o 10º dia útil do mês subsequente, mediante a apresentação da Nota Fiscal, visada pela fiscalização do contrato, acompanhada das guias de recolhimento das contribuições para o FGTS e o INSS relativas aos profissionais  disponibilizados, recibo da folha de pagamento e a SEFIP/GFIP.</w:t>
      </w:r>
    </w:p>
    <w:p w14:paraId="5BBE559A" w14:textId="77777777" w:rsidR="00855082" w:rsidRPr="004D526E" w:rsidRDefault="00855082" w:rsidP="004D526E">
      <w:pPr>
        <w:rPr>
          <w:b/>
          <w:sz w:val="21"/>
          <w:szCs w:val="21"/>
        </w:rPr>
      </w:pPr>
    </w:p>
    <w:p w14:paraId="0DBB4EA4" w14:textId="6D6AB0CB" w:rsidR="00873BD9" w:rsidRPr="004D526E" w:rsidRDefault="00EE360D" w:rsidP="004D526E">
      <w:pPr>
        <w:rPr>
          <w:sz w:val="21"/>
          <w:szCs w:val="21"/>
        </w:rPr>
      </w:pPr>
      <w:r w:rsidRPr="004D526E">
        <w:rPr>
          <w:b/>
          <w:sz w:val="21"/>
          <w:szCs w:val="21"/>
        </w:rPr>
        <w:t>GABINETE D</w:t>
      </w:r>
      <w:r w:rsidR="004D526E" w:rsidRPr="004D526E">
        <w:rPr>
          <w:b/>
          <w:sz w:val="21"/>
          <w:szCs w:val="21"/>
        </w:rPr>
        <w:t>A</w:t>
      </w:r>
      <w:r w:rsidRPr="004D526E">
        <w:rPr>
          <w:b/>
          <w:sz w:val="21"/>
          <w:szCs w:val="21"/>
        </w:rPr>
        <w:t xml:space="preserve"> PREFEIT</w:t>
      </w:r>
      <w:r w:rsidR="004D526E" w:rsidRPr="004D526E">
        <w:rPr>
          <w:b/>
          <w:sz w:val="21"/>
          <w:szCs w:val="21"/>
        </w:rPr>
        <w:t xml:space="preserve">A </w:t>
      </w:r>
      <w:r w:rsidR="008408B0" w:rsidRPr="004D526E">
        <w:rPr>
          <w:b/>
          <w:sz w:val="21"/>
          <w:szCs w:val="21"/>
        </w:rPr>
        <w:t>DE COTIPORÃ</w:t>
      </w:r>
      <w:r w:rsidR="008408B0" w:rsidRPr="004D526E">
        <w:rPr>
          <w:sz w:val="21"/>
          <w:szCs w:val="21"/>
        </w:rPr>
        <w:t xml:space="preserve">, aos </w:t>
      </w:r>
      <w:r w:rsidR="004D526E" w:rsidRPr="004D526E">
        <w:rPr>
          <w:sz w:val="21"/>
          <w:szCs w:val="21"/>
        </w:rPr>
        <w:t>28 de dezembro de 2022</w:t>
      </w:r>
    </w:p>
    <w:p w14:paraId="65C4A85E" w14:textId="20235D73" w:rsidR="00352234" w:rsidRPr="004D526E" w:rsidRDefault="00352234" w:rsidP="004D526E">
      <w:pPr>
        <w:ind w:right="55" w:firstLine="1418"/>
        <w:rPr>
          <w:sz w:val="21"/>
          <w:szCs w:val="21"/>
        </w:rPr>
      </w:pPr>
    </w:p>
    <w:p w14:paraId="07C4C8AB" w14:textId="6ABD7598" w:rsidR="00EE532A" w:rsidRPr="004D526E" w:rsidRDefault="00EE532A" w:rsidP="004D526E">
      <w:pPr>
        <w:ind w:right="55" w:firstLine="1418"/>
        <w:rPr>
          <w:sz w:val="21"/>
          <w:szCs w:val="21"/>
        </w:rPr>
      </w:pPr>
    </w:p>
    <w:p w14:paraId="5F3178FD" w14:textId="77777777" w:rsidR="00EE360D" w:rsidRPr="004D526E" w:rsidRDefault="00EE360D" w:rsidP="004D526E">
      <w:pPr>
        <w:ind w:right="55" w:firstLine="1418"/>
        <w:rPr>
          <w:sz w:val="21"/>
          <w:szCs w:val="21"/>
        </w:rPr>
      </w:pPr>
    </w:p>
    <w:p w14:paraId="230C293B" w14:textId="77777777" w:rsidR="007E31FF" w:rsidRPr="004D526E" w:rsidRDefault="007E31FF" w:rsidP="004D526E">
      <w:pPr>
        <w:ind w:right="55" w:firstLine="1418"/>
        <w:rPr>
          <w:sz w:val="21"/>
          <w:szCs w:val="21"/>
        </w:rPr>
      </w:pPr>
    </w:p>
    <w:p w14:paraId="0A492094" w14:textId="77777777" w:rsidR="00EE532A" w:rsidRPr="004D526E" w:rsidRDefault="00EE532A" w:rsidP="004D526E">
      <w:pPr>
        <w:ind w:right="55" w:firstLine="1418"/>
        <w:rPr>
          <w:sz w:val="21"/>
          <w:szCs w:val="21"/>
        </w:rPr>
      </w:pPr>
    </w:p>
    <w:p w14:paraId="15CBD7BF" w14:textId="6CB134F3" w:rsidR="00EE532A" w:rsidRPr="004D526E" w:rsidRDefault="004D526E" w:rsidP="004D526E">
      <w:pPr>
        <w:jc w:val="center"/>
        <w:rPr>
          <w:b/>
          <w:sz w:val="21"/>
          <w:szCs w:val="21"/>
        </w:rPr>
      </w:pPr>
      <w:r w:rsidRPr="004D526E">
        <w:rPr>
          <w:b/>
          <w:sz w:val="21"/>
          <w:szCs w:val="21"/>
        </w:rPr>
        <w:t>LENITA ZANOVELLO TOMAZI</w:t>
      </w:r>
    </w:p>
    <w:p w14:paraId="7A448B7D" w14:textId="68A449FD" w:rsidR="006F64E3" w:rsidRPr="004D526E" w:rsidRDefault="00EE360D" w:rsidP="004D526E">
      <w:pPr>
        <w:jc w:val="center"/>
        <w:rPr>
          <w:sz w:val="21"/>
          <w:szCs w:val="21"/>
          <w:u w:val="single"/>
        </w:rPr>
      </w:pPr>
      <w:r w:rsidRPr="004D526E">
        <w:rPr>
          <w:sz w:val="21"/>
          <w:szCs w:val="21"/>
        </w:rPr>
        <w:t>Prefeit</w:t>
      </w:r>
      <w:r w:rsidR="004D526E" w:rsidRPr="004D526E">
        <w:rPr>
          <w:sz w:val="21"/>
          <w:szCs w:val="21"/>
        </w:rPr>
        <w:t>a</w:t>
      </w:r>
      <w:r w:rsidRPr="004D526E">
        <w:rPr>
          <w:sz w:val="21"/>
          <w:szCs w:val="21"/>
        </w:rPr>
        <w:t xml:space="preserve"> Municipal de Cotiporã</w:t>
      </w:r>
      <w:r w:rsidR="004D526E" w:rsidRPr="004D526E">
        <w:rPr>
          <w:sz w:val="21"/>
          <w:szCs w:val="21"/>
        </w:rPr>
        <w:t xml:space="preserve"> Em Exercício</w:t>
      </w:r>
    </w:p>
    <w:sectPr w:rsidR="006F64E3" w:rsidRPr="004D526E" w:rsidSect="007D476E">
      <w:headerReference w:type="default" r:id="rId7"/>
      <w:footerReference w:type="default" r:id="rId8"/>
      <w:pgSz w:w="11906" w:h="16838"/>
      <w:pgMar w:top="720" w:right="720" w:bottom="720" w:left="720" w:header="708" w:footer="3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E8F5C" w14:textId="77777777" w:rsidR="00C20289" w:rsidRDefault="00C20289" w:rsidP="00965D67">
      <w:r>
        <w:separator/>
      </w:r>
    </w:p>
  </w:endnote>
  <w:endnote w:type="continuationSeparator" w:id="0">
    <w:p w14:paraId="40F31FF6" w14:textId="77777777" w:rsidR="00C20289" w:rsidRDefault="00C20289"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000"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DA14F" w14:textId="77777777" w:rsidR="00297F61" w:rsidRPr="0022793B" w:rsidRDefault="00297F61" w:rsidP="00965D67">
    <w:pPr>
      <w:pStyle w:val="Rodap"/>
      <w:jc w:val="center"/>
      <w:rPr>
        <w:rFonts w:ascii="Arial Narrow" w:hAnsi="Arial Narrow" w:cs="Miriam Fixed"/>
        <w:sz w:val="20"/>
        <w:szCs w:val="20"/>
      </w:rPr>
    </w:pPr>
    <w:r w:rsidRPr="0022793B">
      <w:rPr>
        <w:rFonts w:ascii="Arial Narrow" w:hAnsi="Arial Narrow" w:cs="Miriam Fixed"/>
        <w:sz w:val="20"/>
        <w:szCs w:val="20"/>
      </w:rPr>
      <w:t xml:space="preserve">RUA SILVEIRA MARTINS, 163 – TELEFONE (54)3446 2800 – CNPJ: 90.898.487/0001-64 </w:t>
    </w:r>
  </w:p>
  <w:p w14:paraId="27823688" w14:textId="77777777" w:rsidR="00297F61" w:rsidRPr="0022793B" w:rsidRDefault="00C20289" w:rsidP="00965D67">
    <w:pPr>
      <w:pStyle w:val="Rodap"/>
      <w:jc w:val="center"/>
      <w:rPr>
        <w:rFonts w:ascii="Arial Narrow" w:hAnsi="Arial Narrow" w:cs="Miriam Fixed"/>
        <w:sz w:val="20"/>
        <w:szCs w:val="20"/>
        <w:lang w:val="en-US"/>
      </w:rPr>
    </w:pPr>
    <w:hyperlink r:id="rId1" w:history="1">
      <w:r w:rsidR="00297F61" w:rsidRPr="007B6F15">
        <w:rPr>
          <w:rStyle w:val="Hyperlink"/>
          <w:rFonts w:ascii="Arial Narrow" w:hAnsi="Arial Narrow" w:cs="Miriam Fixed"/>
          <w:sz w:val="20"/>
          <w:szCs w:val="20"/>
          <w:lang w:val="en-US"/>
        </w:rPr>
        <w:t>www.cotipora.rs.gov.br</w:t>
      </w:r>
    </w:hyperlink>
    <w:r w:rsidR="00297F61">
      <w:rPr>
        <w:rFonts w:ascii="Arial Narrow" w:hAnsi="Arial Narrow" w:cs="Miriam Fixed"/>
        <w:sz w:val="20"/>
        <w:szCs w:val="20"/>
        <w:lang w:val="en-US"/>
      </w:rPr>
      <w:t xml:space="preserve"> </w:t>
    </w:r>
    <w:r w:rsidR="00297F61" w:rsidRPr="0022793B">
      <w:rPr>
        <w:rFonts w:ascii="Arial Narrow" w:hAnsi="Arial Narrow" w:cs="Miriam Fixed"/>
        <w:sz w:val="20"/>
        <w:szCs w:val="20"/>
        <w:lang w:val="en-US"/>
      </w:rPr>
      <w:t xml:space="preserve"> - CEP: 95.335-000 – COTIPORÃ/RS.</w:t>
    </w:r>
  </w:p>
  <w:p w14:paraId="4972C949" w14:textId="77777777" w:rsidR="00297F61" w:rsidRPr="0067203A" w:rsidRDefault="00297F6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1514D" w14:textId="77777777" w:rsidR="00C20289" w:rsidRDefault="00C20289" w:rsidP="00965D67">
      <w:r>
        <w:separator/>
      </w:r>
    </w:p>
  </w:footnote>
  <w:footnote w:type="continuationSeparator" w:id="0">
    <w:p w14:paraId="5C30B7F3" w14:textId="77777777" w:rsidR="00C20289" w:rsidRDefault="00C20289"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94C2B" w14:textId="77777777" w:rsidR="00993FBE" w:rsidRPr="0084175A" w:rsidRDefault="00993FBE" w:rsidP="00993FBE">
    <w:pPr>
      <w:pStyle w:val="Cabealho"/>
      <w:rPr>
        <w:rFonts w:ascii="Aharoni" w:hAnsi="Aharoni" w:cs="Aharoni"/>
        <w:sz w:val="26"/>
        <w:szCs w:val="26"/>
      </w:rPr>
    </w:pPr>
    <w:r>
      <w:t xml:space="preserve">             </w:t>
    </w:r>
    <w:r>
      <w:rPr>
        <w:rFonts w:ascii="Aharoni" w:hAnsi="Aharoni" w:cs="Aharoni"/>
        <w:noProof/>
        <w:sz w:val="30"/>
        <w:szCs w:val="30"/>
        <w:lang w:eastAsia="pt-BR"/>
      </w:rPr>
      <w:drawing>
        <wp:inline distT="0" distB="0" distL="0" distR="0" wp14:anchorId="22DBDE05" wp14:editId="67E13BD5">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2357F27A" w14:textId="1B676A71" w:rsidR="00297F61" w:rsidRPr="00993FBE" w:rsidRDefault="00297F61" w:rsidP="00993FB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5018"/>
    <w:rsid w:val="0002028B"/>
    <w:rsid w:val="0003403F"/>
    <w:rsid w:val="00042173"/>
    <w:rsid w:val="000434F2"/>
    <w:rsid w:val="00043F17"/>
    <w:rsid w:val="000452FA"/>
    <w:rsid w:val="000727D5"/>
    <w:rsid w:val="0008465D"/>
    <w:rsid w:val="00096349"/>
    <w:rsid w:val="0009762C"/>
    <w:rsid w:val="000A0A20"/>
    <w:rsid w:val="000B37E4"/>
    <w:rsid w:val="000B4053"/>
    <w:rsid w:val="000C68A2"/>
    <w:rsid w:val="000D1851"/>
    <w:rsid w:val="000E13CF"/>
    <w:rsid w:val="000F0FAC"/>
    <w:rsid w:val="000F5458"/>
    <w:rsid w:val="00120DED"/>
    <w:rsid w:val="0012624A"/>
    <w:rsid w:val="00126D83"/>
    <w:rsid w:val="001326EC"/>
    <w:rsid w:val="00134260"/>
    <w:rsid w:val="00164458"/>
    <w:rsid w:val="001656C0"/>
    <w:rsid w:val="00191181"/>
    <w:rsid w:val="0019604B"/>
    <w:rsid w:val="001B2B15"/>
    <w:rsid w:val="001D4354"/>
    <w:rsid w:val="001E1672"/>
    <w:rsid w:val="001E255A"/>
    <w:rsid w:val="001F270C"/>
    <w:rsid w:val="001F5DDA"/>
    <w:rsid w:val="002079E1"/>
    <w:rsid w:val="00221895"/>
    <w:rsid w:val="0022793B"/>
    <w:rsid w:val="0023218B"/>
    <w:rsid w:val="002327E9"/>
    <w:rsid w:val="00234B29"/>
    <w:rsid w:val="00237860"/>
    <w:rsid w:val="002561B8"/>
    <w:rsid w:val="00261B06"/>
    <w:rsid w:val="00262171"/>
    <w:rsid w:val="002723C9"/>
    <w:rsid w:val="002853C1"/>
    <w:rsid w:val="00286D6F"/>
    <w:rsid w:val="00290A50"/>
    <w:rsid w:val="00297F61"/>
    <w:rsid w:val="002A5404"/>
    <w:rsid w:val="002B4451"/>
    <w:rsid w:val="002C0288"/>
    <w:rsid w:val="002C327C"/>
    <w:rsid w:val="002F1CE6"/>
    <w:rsid w:val="002F7488"/>
    <w:rsid w:val="00311DF6"/>
    <w:rsid w:val="00311ED2"/>
    <w:rsid w:val="0032056B"/>
    <w:rsid w:val="003316F5"/>
    <w:rsid w:val="00347B53"/>
    <w:rsid w:val="00350580"/>
    <w:rsid w:val="00352234"/>
    <w:rsid w:val="0035396B"/>
    <w:rsid w:val="00354D0F"/>
    <w:rsid w:val="00395380"/>
    <w:rsid w:val="003A2792"/>
    <w:rsid w:val="003A5F1A"/>
    <w:rsid w:val="003B23DB"/>
    <w:rsid w:val="003C01E6"/>
    <w:rsid w:val="003C2A24"/>
    <w:rsid w:val="003C4477"/>
    <w:rsid w:val="003D3431"/>
    <w:rsid w:val="003E11F6"/>
    <w:rsid w:val="003F43FD"/>
    <w:rsid w:val="00400A4C"/>
    <w:rsid w:val="00432890"/>
    <w:rsid w:val="004438C6"/>
    <w:rsid w:val="00447C23"/>
    <w:rsid w:val="00454C29"/>
    <w:rsid w:val="00495094"/>
    <w:rsid w:val="004B13D9"/>
    <w:rsid w:val="004D4704"/>
    <w:rsid w:val="004D526E"/>
    <w:rsid w:val="00501EDD"/>
    <w:rsid w:val="00532B41"/>
    <w:rsid w:val="00535013"/>
    <w:rsid w:val="005479D2"/>
    <w:rsid w:val="00551027"/>
    <w:rsid w:val="005574CF"/>
    <w:rsid w:val="005725F4"/>
    <w:rsid w:val="00572D13"/>
    <w:rsid w:val="005806AE"/>
    <w:rsid w:val="005A005C"/>
    <w:rsid w:val="005A04F5"/>
    <w:rsid w:val="005D28A8"/>
    <w:rsid w:val="005E1223"/>
    <w:rsid w:val="005E5996"/>
    <w:rsid w:val="00603878"/>
    <w:rsid w:val="0060783F"/>
    <w:rsid w:val="006167B2"/>
    <w:rsid w:val="00630169"/>
    <w:rsid w:val="00632A01"/>
    <w:rsid w:val="00640269"/>
    <w:rsid w:val="00645899"/>
    <w:rsid w:val="00662227"/>
    <w:rsid w:val="0067088B"/>
    <w:rsid w:val="0067203A"/>
    <w:rsid w:val="00673FFD"/>
    <w:rsid w:val="00685999"/>
    <w:rsid w:val="006A73ED"/>
    <w:rsid w:val="006B64B8"/>
    <w:rsid w:val="006C3074"/>
    <w:rsid w:val="006E148B"/>
    <w:rsid w:val="006E7559"/>
    <w:rsid w:val="006F64E3"/>
    <w:rsid w:val="007070AD"/>
    <w:rsid w:val="00770B91"/>
    <w:rsid w:val="007D476E"/>
    <w:rsid w:val="007E0A45"/>
    <w:rsid w:val="007E31FF"/>
    <w:rsid w:val="00822A8F"/>
    <w:rsid w:val="008408B0"/>
    <w:rsid w:val="0084175A"/>
    <w:rsid w:val="00844340"/>
    <w:rsid w:val="00855082"/>
    <w:rsid w:val="00873BD9"/>
    <w:rsid w:val="00890A65"/>
    <w:rsid w:val="00892162"/>
    <w:rsid w:val="008931A3"/>
    <w:rsid w:val="008B28AE"/>
    <w:rsid w:val="008D379A"/>
    <w:rsid w:val="008D4884"/>
    <w:rsid w:val="008E6B12"/>
    <w:rsid w:val="008E7B83"/>
    <w:rsid w:val="008F4CDF"/>
    <w:rsid w:val="00911283"/>
    <w:rsid w:val="00915839"/>
    <w:rsid w:val="00924AE9"/>
    <w:rsid w:val="00934585"/>
    <w:rsid w:val="00935AA4"/>
    <w:rsid w:val="0094204B"/>
    <w:rsid w:val="0095584C"/>
    <w:rsid w:val="00965D67"/>
    <w:rsid w:val="00984030"/>
    <w:rsid w:val="00993FBE"/>
    <w:rsid w:val="009C1B34"/>
    <w:rsid w:val="009D38C5"/>
    <w:rsid w:val="00A2079B"/>
    <w:rsid w:val="00A21B81"/>
    <w:rsid w:val="00A24ABD"/>
    <w:rsid w:val="00A50F20"/>
    <w:rsid w:val="00AC0A6F"/>
    <w:rsid w:val="00AC3D8B"/>
    <w:rsid w:val="00AC6A6D"/>
    <w:rsid w:val="00AF1FD5"/>
    <w:rsid w:val="00B042E1"/>
    <w:rsid w:val="00B67154"/>
    <w:rsid w:val="00B81A18"/>
    <w:rsid w:val="00BA3A10"/>
    <w:rsid w:val="00BB2B8B"/>
    <w:rsid w:val="00BB2CF9"/>
    <w:rsid w:val="00BB688E"/>
    <w:rsid w:val="00C05B45"/>
    <w:rsid w:val="00C11E2B"/>
    <w:rsid w:val="00C125C2"/>
    <w:rsid w:val="00C20289"/>
    <w:rsid w:val="00C27341"/>
    <w:rsid w:val="00C44250"/>
    <w:rsid w:val="00C712A1"/>
    <w:rsid w:val="00C7446C"/>
    <w:rsid w:val="00C81B5B"/>
    <w:rsid w:val="00C85192"/>
    <w:rsid w:val="00C87034"/>
    <w:rsid w:val="00C9689B"/>
    <w:rsid w:val="00CD07C2"/>
    <w:rsid w:val="00CD36C6"/>
    <w:rsid w:val="00CD5C18"/>
    <w:rsid w:val="00CE1C93"/>
    <w:rsid w:val="00CF40C3"/>
    <w:rsid w:val="00CF4998"/>
    <w:rsid w:val="00CF5A76"/>
    <w:rsid w:val="00D012E1"/>
    <w:rsid w:val="00D146B7"/>
    <w:rsid w:val="00D157C3"/>
    <w:rsid w:val="00D350EA"/>
    <w:rsid w:val="00D45511"/>
    <w:rsid w:val="00D54297"/>
    <w:rsid w:val="00D55769"/>
    <w:rsid w:val="00D95A99"/>
    <w:rsid w:val="00DA308A"/>
    <w:rsid w:val="00DA61A1"/>
    <w:rsid w:val="00DB46B9"/>
    <w:rsid w:val="00DB6656"/>
    <w:rsid w:val="00DC60DD"/>
    <w:rsid w:val="00DF53E5"/>
    <w:rsid w:val="00E1751F"/>
    <w:rsid w:val="00E303BD"/>
    <w:rsid w:val="00E3754D"/>
    <w:rsid w:val="00E52882"/>
    <w:rsid w:val="00E54327"/>
    <w:rsid w:val="00E61880"/>
    <w:rsid w:val="00E843E1"/>
    <w:rsid w:val="00E90362"/>
    <w:rsid w:val="00E91E5F"/>
    <w:rsid w:val="00EB0952"/>
    <w:rsid w:val="00EC0872"/>
    <w:rsid w:val="00ED2FA8"/>
    <w:rsid w:val="00EE360D"/>
    <w:rsid w:val="00EE532A"/>
    <w:rsid w:val="00EE70D4"/>
    <w:rsid w:val="00F008D9"/>
    <w:rsid w:val="00F04238"/>
    <w:rsid w:val="00F25922"/>
    <w:rsid w:val="00F31505"/>
    <w:rsid w:val="00F3554D"/>
    <w:rsid w:val="00F521F5"/>
    <w:rsid w:val="00F530FF"/>
    <w:rsid w:val="00F55B3E"/>
    <w:rsid w:val="00F65203"/>
    <w:rsid w:val="00F7520E"/>
    <w:rsid w:val="00F75D3D"/>
    <w:rsid w:val="00F84385"/>
    <w:rsid w:val="00F86E1F"/>
    <w:rsid w:val="00F87890"/>
    <w:rsid w:val="00F91D5A"/>
    <w:rsid w:val="00FA422E"/>
    <w:rsid w:val="00FB1E27"/>
    <w:rsid w:val="00FD3A68"/>
    <w:rsid w:val="00FD465B"/>
    <w:rsid w:val="00FE1A65"/>
    <w:rsid w:val="00FE5E92"/>
    <w:rsid w:val="00FF53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5AD42"/>
  <w15:docId w15:val="{33E19CEF-A5F9-4C1C-965F-5AAC9B98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408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6E7559"/>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semiHidden/>
    <w:unhideWhenUsed/>
    <w:qFormat/>
    <w:rsid w:val="00297F6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297F61"/>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297F61"/>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408B0"/>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rsid w:val="006E7559"/>
    <w:rPr>
      <w:rFonts w:ascii="Arial" w:eastAsia="Times New Roman" w:hAnsi="Arial" w:cs="Arial"/>
      <w:b/>
      <w:bCs/>
      <w:i/>
      <w:iCs/>
      <w:sz w:val="28"/>
      <w:szCs w:val="28"/>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character" w:styleId="Hyperlink">
    <w:name w:val="Hyperlink"/>
    <w:basedOn w:val="Fontepargpadro"/>
    <w:uiPriority w:val="99"/>
    <w:unhideWhenUsed/>
    <w:rsid w:val="005725F4"/>
    <w:rPr>
      <w:color w:val="0000FF" w:themeColor="hyperlink"/>
      <w:u w:val="single"/>
    </w:rPr>
  </w:style>
  <w:style w:type="paragraph" w:styleId="Subttulo">
    <w:name w:val="Subtitle"/>
    <w:basedOn w:val="Normal"/>
    <w:link w:val="SubttuloChar"/>
    <w:qFormat/>
    <w:rsid w:val="008408B0"/>
    <w:pPr>
      <w:ind w:firstLine="1418"/>
    </w:pPr>
    <w:rPr>
      <w:szCs w:val="20"/>
    </w:rPr>
  </w:style>
  <w:style w:type="character" w:customStyle="1" w:styleId="SubttuloChar">
    <w:name w:val="Subtítulo Char"/>
    <w:basedOn w:val="Fontepargpadro"/>
    <w:link w:val="Subttulo"/>
    <w:rsid w:val="008408B0"/>
    <w:rPr>
      <w:rFonts w:ascii="Times New Roman" w:eastAsia="Times New Roman" w:hAnsi="Times New Roman" w:cs="Times New Roman"/>
      <w:sz w:val="24"/>
      <w:szCs w:val="20"/>
      <w:lang w:eastAsia="pt-BR"/>
    </w:rPr>
  </w:style>
  <w:style w:type="paragraph" w:styleId="NormalWeb">
    <w:name w:val="Normal (Web)"/>
    <w:basedOn w:val="Normal"/>
    <w:uiPriority w:val="99"/>
    <w:rsid w:val="00EB0952"/>
    <w:pPr>
      <w:spacing w:before="100" w:beforeAutospacing="1" w:after="100" w:afterAutospacing="1"/>
    </w:pPr>
    <w:rPr>
      <w:rFonts w:ascii="Verdana" w:hAnsi="Verdana"/>
    </w:rPr>
  </w:style>
  <w:style w:type="table" w:styleId="Tabelacomgrade">
    <w:name w:val="Table Grid"/>
    <w:basedOn w:val="Tabelanormal"/>
    <w:uiPriority w:val="59"/>
    <w:rsid w:val="00EB09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CF40C3"/>
    <w:rPr>
      <w:b/>
      <w:bCs/>
    </w:rPr>
  </w:style>
  <w:style w:type="paragraph" w:customStyle="1" w:styleId="title-description">
    <w:name w:val="title-description"/>
    <w:basedOn w:val="Normal"/>
    <w:rsid w:val="00CF40C3"/>
    <w:pPr>
      <w:spacing w:before="100" w:beforeAutospacing="1" w:after="100" w:afterAutospacing="1"/>
    </w:pPr>
  </w:style>
  <w:style w:type="paragraph" w:styleId="SemEspaamento">
    <w:name w:val="No Spacing"/>
    <w:uiPriority w:val="1"/>
    <w:qFormat/>
    <w:rsid w:val="00CF40C3"/>
    <w:pPr>
      <w:spacing w:after="0" w:line="240" w:lineRule="auto"/>
    </w:pPr>
    <w:rPr>
      <w:rFonts w:ascii="Calibri" w:eastAsia="Calibri" w:hAnsi="Calibri" w:cs="Times New Roman"/>
    </w:rPr>
  </w:style>
  <w:style w:type="character" w:customStyle="1" w:styleId="apple-converted-space">
    <w:name w:val="apple-converted-space"/>
    <w:basedOn w:val="Fontepargpadro"/>
    <w:rsid w:val="00CF40C3"/>
  </w:style>
  <w:style w:type="character" w:customStyle="1" w:styleId="Ttulo3Char">
    <w:name w:val="Título 3 Char"/>
    <w:basedOn w:val="Fontepargpadro"/>
    <w:link w:val="Ttulo3"/>
    <w:uiPriority w:val="9"/>
    <w:semiHidden/>
    <w:rsid w:val="00297F6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semiHidden/>
    <w:rsid w:val="00297F61"/>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297F61"/>
    <w:rPr>
      <w:rFonts w:asciiTheme="majorHAnsi" w:eastAsiaTheme="majorEastAsia" w:hAnsiTheme="majorHAnsi" w:cstheme="majorBidi"/>
      <w:color w:val="243F60" w:themeColor="accent1" w:themeShade="7F"/>
      <w:sz w:val="24"/>
      <w:szCs w:val="24"/>
      <w:lang w:eastAsia="pt-BR"/>
    </w:rPr>
  </w:style>
  <w:style w:type="character" w:customStyle="1" w:styleId="CorpodetextoChar">
    <w:name w:val="Corpo de texto Char"/>
    <w:basedOn w:val="Fontepargpadro"/>
    <w:link w:val="Corpodetexto"/>
    <w:uiPriority w:val="99"/>
    <w:rsid w:val="00297F61"/>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297F61"/>
    <w:pPr>
      <w:spacing w:after="120"/>
    </w:pPr>
  </w:style>
  <w:style w:type="character" w:customStyle="1" w:styleId="Recuodecorpodetexto3Char">
    <w:name w:val="Recuo de corpo de texto 3 Char"/>
    <w:basedOn w:val="Fontepargpadro"/>
    <w:link w:val="Recuodecorpodetexto3"/>
    <w:uiPriority w:val="99"/>
    <w:semiHidden/>
    <w:rsid w:val="00297F61"/>
    <w:rPr>
      <w:rFonts w:eastAsiaTheme="minorEastAsia"/>
      <w:sz w:val="16"/>
      <w:szCs w:val="16"/>
      <w:lang w:eastAsia="pt-BR"/>
    </w:rPr>
  </w:style>
  <w:style w:type="paragraph" w:styleId="Recuodecorpodetexto3">
    <w:name w:val="Body Text Indent 3"/>
    <w:basedOn w:val="Normal"/>
    <w:link w:val="Recuodecorpodetexto3Char"/>
    <w:uiPriority w:val="99"/>
    <w:semiHidden/>
    <w:unhideWhenUsed/>
    <w:rsid w:val="00297F61"/>
    <w:pPr>
      <w:spacing w:after="120" w:line="276" w:lineRule="auto"/>
      <w:ind w:left="283"/>
    </w:pPr>
    <w:rPr>
      <w:rFonts w:asciiTheme="minorHAnsi" w:eastAsiaTheme="minorEastAsia" w:hAnsiTheme="minorHAnsi" w:cstheme="minorBidi"/>
      <w:sz w:val="16"/>
      <w:szCs w:val="16"/>
    </w:rPr>
  </w:style>
  <w:style w:type="character" w:customStyle="1" w:styleId="DataChar">
    <w:name w:val="Data Char"/>
    <w:basedOn w:val="Fontepargpadro"/>
    <w:link w:val="Data"/>
    <w:rsid w:val="00297F61"/>
    <w:rPr>
      <w:rFonts w:ascii="Times New Roman" w:eastAsia="Times New Roman" w:hAnsi="Times New Roman" w:cs="Times New Roman"/>
      <w:b/>
      <w:sz w:val="24"/>
      <w:szCs w:val="20"/>
      <w:lang w:eastAsia="pt-BR"/>
    </w:rPr>
  </w:style>
  <w:style w:type="paragraph" w:styleId="Data">
    <w:name w:val="Date"/>
    <w:basedOn w:val="Normal"/>
    <w:link w:val="DataChar"/>
    <w:rsid w:val="00297F61"/>
    <w:pPr>
      <w:tabs>
        <w:tab w:val="left" w:pos="1134"/>
        <w:tab w:val="left" w:pos="1701"/>
      </w:tabs>
    </w:pPr>
    <w:rPr>
      <w:b/>
      <w:szCs w:val="20"/>
    </w:rPr>
  </w:style>
  <w:style w:type="character" w:customStyle="1" w:styleId="Corpodetexto3Char">
    <w:name w:val="Corpo de texto 3 Char"/>
    <w:basedOn w:val="Fontepargpadro"/>
    <w:link w:val="Corpodetexto3"/>
    <w:uiPriority w:val="99"/>
    <w:rsid w:val="00297F61"/>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rsid w:val="00297F61"/>
    <w:pPr>
      <w:spacing w:after="120"/>
    </w:pPr>
    <w:rPr>
      <w:sz w:val="16"/>
      <w:szCs w:val="16"/>
    </w:rPr>
  </w:style>
  <w:style w:type="character" w:customStyle="1" w:styleId="Corpodetexto2Char">
    <w:name w:val="Corpo de texto 2 Char"/>
    <w:basedOn w:val="Fontepargpadro"/>
    <w:link w:val="Corpodetexto2"/>
    <w:uiPriority w:val="99"/>
    <w:rsid w:val="00297F61"/>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297F61"/>
    <w:pPr>
      <w:spacing w:after="120" w:line="480" w:lineRule="auto"/>
    </w:pPr>
  </w:style>
  <w:style w:type="character" w:customStyle="1" w:styleId="RecuodecorpodetextoChar">
    <w:name w:val="Recuo de corpo de texto Char"/>
    <w:basedOn w:val="Fontepargpadro"/>
    <w:link w:val="Recuodecorpodetexto"/>
    <w:rsid w:val="00297F6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297F61"/>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18378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133D1B-C4D5-4CD2-856B-D044618F8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Pages>
  <Words>350</Words>
  <Characters>1893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RELAÇÃO DE EMPRESAS CONVIDADAS</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RELAÇÃO DE EMPRESAS CONVIDADAS</dc:title>
  <dc:subject>Licitação modalidade Convite</dc:subject>
  <dc:creator>Gilda Ana Marcon Moreira - Pref. Munic. de Cotiporã RS</dc:creator>
  <cp:lastModifiedBy>Leticia Frizon</cp:lastModifiedBy>
  <cp:revision>85</cp:revision>
  <cp:lastPrinted>2022-12-27T14:08:00Z</cp:lastPrinted>
  <dcterms:created xsi:type="dcterms:W3CDTF">2015-01-20T10:04:00Z</dcterms:created>
  <dcterms:modified xsi:type="dcterms:W3CDTF">2022-12-27T14:13:00Z</dcterms:modified>
</cp:coreProperties>
</file>