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3FFA" w14:textId="517E832D" w:rsidR="00D9358E" w:rsidRPr="00937210" w:rsidRDefault="009565A5" w:rsidP="00D9358E">
      <w:pPr>
        <w:ind w:firstLine="2552"/>
        <w:rPr>
          <w:rFonts w:ascii="Arial Narrow" w:hAnsi="Arial Narrow"/>
          <w:b/>
          <w:sz w:val="20"/>
          <w:szCs w:val="20"/>
          <w:u w:val="single"/>
        </w:rPr>
      </w:pPr>
      <w:r>
        <w:rPr>
          <w:rFonts w:ascii="Arial Narrow" w:hAnsi="Arial Narrow"/>
          <w:b/>
          <w:sz w:val="20"/>
          <w:szCs w:val="20"/>
          <w:u w:val="single"/>
        </w:rPr>
        <w:t>ATA DE REGISTRO DE PREÇOS Nº012/2023</w:t>
      </w:r>
    </w:p>
    <w:p w14:paraId="726F1D07" w14:textId="77777777" w:rsidR="00D9358E" w:rsidRPr="00937210" w:rsidRDefault="00D9358E" w:rsidP="00D9358E">
      <w:pPr>
        <w:autoSpaceDE w:val="0"/>
        <w:autoSpaceDN w:val="0"/>
        <w:adjustRightInd w:val="0"/>
        <w:ind w:left="2552"/>
        <w:jc w:val="both"/>
        <w:rPr>
          <w:rFonts w:ascii="Arial Narrow" w:hAnsi="Arial Narrow" w:cs="Arial"/>
          <w:b/>
          <w:color w:val="000000"/>
          <w:sz w:val="20"/>
          <w:szCs w:val="20"/>
        </w:rPr>
      </w:pPr>
    </w:p>
    <w:p w14:paraId="2BB99320" w14:textId="2C5594E2" w:rsidR="00D9358E" w:rsidRPr="00937210" w:rsidRDefault="00D9358E" w:rsidP="00D9358E">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Pr>
          <w:rFonts w:ascii="Arial Narrow" w:hAnsi="Arial Narrow" w:cs="Arial"/>
          <w:color w:val="000000"/>
          <w:sz w:val="20"/>
          <w:szCs w:val="20"/>
        </w:rPr>
        <w:t>PRESENCIAL</w:t>
      </w:r>
      <w:r w:rsidRPr="00937210">
        <w:rPr>
          <w:rFonts w:ascii="Arial Narrow" w:hAnsi="Arial Narrow" w:cs="Arial"/>
          <w:color w:val="000000"/>
          <w:sz w:val="20"/>
          <w:szCs w:val="20"/>
        </w:rPr>
        <w:t xml:space="preserve"> Nº 0</w:t>
      </w:r>
      <w:r w:rsidR="00216A0A">
        <w:rPr>
          <w:rFonts w:ascii="Arial Narrow" w:hAnsi="Arial Narrow" w:cs="Arial"/>
          <w:color w:val="000000"/>
          <w:sz w:val="20"/>
          <w:szCs w:val="20"/>
        </w:rPr>
        <w:t>01/2023,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 </w:t>
      </w:r>
      <w:r w:rsidR="000A5E86">
        <w:rPr>
          <w:rFonts w:ascii="Arial Narrow" w:hAnsi="Arial Narrow" w:cs="Arial"/>
          <w:b/>
          <w:color w:val="000000"/>
          <w:sz w:val="20"/>
          <w:szCs w:val="20"/>
        </w:rPr>
        <w:t>VERLIN TECNOLOGIA DA INFORMAÇÃO LTDA</w:t>
      </w:r>
      <w:r w:rsidRPr="00937210">
        <w:rPr>
          <w:rFonts w:ascii="Arial Narrow" w:hAnsi="Arial Narrow" w:cs="Arial"/>
          <w:color w:val="000000"/>
          <w:sz w:val="20"/>
          <w:szCs w:val="20"/>
        </w:rPr>
        <w:t xml:space="preserve"> NOS TERMOS E CONDIÇÕES A SEGUIR ESTABELECIDOS.</w:t>
      </w:r>
    </w:p>
    <w:p w14:paraId="094DF697" w14:textId="77777777" w:rsidR="00D9358E" w:rsidRPr="00E97873" w:rsidRDefault="00D9358E" w:rsidP="00D9358E">
      <w:pPr>
        <w:autoSpaceDE w:val="0"/>
        <w:autoSpaceDN w:val="0"/>
        <w:adjustRightInd w:val="0"/>
        <w:jc w:val="both"/>
        <w:rPr>
          <w:rFonts w:ascii="Arial Narrow" w:hAnsi="Arial Narrow" w:cs="Arial"/>
          <w:color w:val="000000"/>
          <w:sz w:val="16"/>
          <w:szCs w:val="16"/>
        </w:rPr>
      </w:pPr>
    </w:p>
    <w:p w14:paraId="0EF9A8AB" w14:textId="784DC28F" w:rsidR="00D9358E" w:rsidRPr="00E97873" w:rsidRDefault="00D9358E" w:rsidP="00D9358E">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Prefeito Municipal</w:t>
      </w:r>
      <w:r>
        <w:rPr>
          <w:rFonts w:ascii="Arial Narrow" w:hAnsi="Arial Narrow" w:cs="Arial"/>
          <w:sz w:val="20"/>
          <w:szCs w:val="20"/>
        </w:rPr>
        <w:t xml:space="preserve"> o</w:t>
      </w:r>
      <w:r w:rsidRPr="00E97873">
        <w:rPr>
          <w:rFonts w:ascii="Arial Narrow" w:hAnsi="Arial Narrow" w:cs="Arial"/>
          <w:sz w:val="20"/>
          <w:szCs w:val="20"/>
        </w:rPr>
        <w:t xml:space="preserve"> Sr. </w:t>
      </w:r>
      <w:r>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Pr="00E97873">
        <w:rPr>
          <w:rFonts w:ascii="Arial Narrow" w:hAnsi="Arial Narrow" w:cs="Arial"/>
          <w:sz w:val="20"/>
          <w:szCs w:val="20"/>
        </w:rPr>
        <w:t xml:space="preserve"> empresa</w:t>
      </w:r>
      <w:r w:rsidR="000A5E86" w:rsidRPr="000A5E86">
        <w:rPr>
          <w:rFonts w:ascii="Arial Narrow" w:hAnsi="Arial Narrow" w:cs="Arial"/>
          <w:b/>
          <w:color w:val="000000"/>
          <w:sz w:val="20"/>
          <w:szCs w:val="20"/>
        </w:rPr>
        <w:t xml:space="preserve"> </w:t>
      </w:r>
      <w:r w:rsidR="000A5E86">
        <w:rPr>
          <w:rFonts w:ascii="Arial Narrow" w:hAnsi="Arial Narrow" w:cs="Arial"/>
          <w:b/>
          <w:color w:val="000000"/>
          <w:sz w:val="20"/>
          <w:szCs w:val="20"/>
        </w:rPr>
        <w:t>VERLIN TECNOLOGIA DA INFORMAÇÃO LTDA</w:t>
      </w:r>
      <w:r w:rsidRPr="00E97873">
        <w:rPr>
          <w:rFonts w:ascii="Arial Narrow" w:hAnsi="Arial Narrow" w:cs="Arial"/>
          <w:sz w:val="20"/>
          <w:szCs w:val="20"/>
        </w:rPr>
        <w:t xml:space="preserve"> inscrita no CNPJ sob o </w:t>
      </w:r>
      <w:r w:rsidRPr="000A5E86">
        <w:rPr>
          <w:rFonts w:ascii="Arial Narrow" w:hAnsi="Arial Narrow" w:cs="Arial"/>
          <w:sz w:val="20"/>
          <w:szCs w:val="20"/>
        </w:rPr>
        <w:t xml:space="preserve">nº </w:t>
      </w:r>
      <w:r w:rsidR="000A5E86" w:rsidRPr="000A5E86">
        <w:rPr>
          <w:rFonts w:ascii="Arial Narrow" w:hAnsi="Arial Narrow" w:cs="Arial"/>
          <w:sz w:val="20"/>
          <w:szCs w:val="20"/>
        </w:rPr>
        <w:t>10.894.828/0003-56</w:t>
      </w:r>
      <w:r w:rsidR="000A5E86">
        <w:rPr>
          <w:rFonts w:ascii="Arial Narrow" w:hAnsi="Arial Narrow" w:cs="Arial"/>
          <w:sz w:val="20"/>
          <w:szCs w:val="20"/>
        </w:rPr>
        <w:t>, estabelecida na Rua Francisco Sousa Dos Santos, nº 03</w:t>
      </w:r>
      <w:r w:rsidRPr="00E97873">
        <w:rPr>
          <w:rFonts w:ascii="Arial Narrow" w:hAnsi="Arial Narrow" w:cs="Arial"/>
          <w:sz w:val="20"/>
          <w:szCs w:val="20"/>
        </w:rPr>
        <w:t>,</w:t>
      </w:r>
      <w:r w:rsidR="000A5E86">
        <w:rPr>
          <w:rFonts w:ascii="Arial Narrow" w:hAnsi="Arial Narrow" w:cs="Arial"/>
          <w:sz w:val="20"/>
          <w:szCs w:val="20"/>
        </w:rPr>
        <w:t xml:space="preserve"> Sala 223 Bairro Jardim Limoeiro na cidade de Serra/ES</w:t>
      </w:r>
      <w:r w:rsidRPr="00E97873">
        <w:rPr>
          <w:rFonts w:ascii="Arial Narrow" w:hAnsi="Arial Narrow" w:cs="Arial"/>
          <w:sz w:val="20"/>
          <w:szCs w:val="20"/>
        </w:rPr>
        <w:t>, neste ato represent</w:t>
      </w:r>
      <w:r w:rsidR="000A5E86">
        <w:rPr>
          <w:rFonts w:ascii="Arial Narrow" w:hAnsi="Arial Narrow" w:cs="Arial"/>
          <w:sz w:val="20"/>
          <w:szCs w:val="20"/>
        </w:rPr>
        <w:t xml:space="preserve">ada pelo </w:t>
      </w:r>
      <w:proofErr w:type="spellStart"/>
      <w:r w:rsidR="000A5E86">
        <w:rPr>
          <w:rFonts w:ascii="Arial Narrow" w:hAnsi="Arial Narrow" w:cs="Arial"/>
          <w:sz w:val="20"/>
          <w:szCs w:val="20"/>
        </w:rPr>
        <w:t>Sr.Willian</w:t>
      </w:r>
      <w:proofErr w:type="spellEnd"/>
      <w:r w:rsidR="000A5E86">
        <w:rPr>
          <w:rFonts w:ascii="Arial Narrow" w:hAnsi="Arial Narrow" w:cs="Arial"/>
          <w:sz w:val="20"/>
          <w:szCs w:val="20"/>
        </w:rPr>
        <w:t xml:space="preserve"> </w:t>
      </w:r>
      <w:proofErr w:type="spellStart"/>
      <w:r w:rsidR="000A5E86">
        <w:rPr>
          <w:rFonts w:ascii="Arial Narrow" w:hAnsi="Arial Narrow" w:cs="Arial"/>
          <w:sz w:val="20"/>
          <w:szCs w:val="20"/>
        </w:rPr>
        <w:t>Verlin</w:t>
      </w:r>
      <w:proofErr w:type="spellEnd"/>
      <w:r w:rsidR="000A5E86">
        <w:rPr>
          <w:rFonts w:ascii="Arial Narrow" w:hAnsi="Arial Narrow" w:cs="Arial"/>
          <w:sz w:val="20"/>
          <w:szCs w:val="20"/>
        </w:rPr>
        <w:t xml:space="preserve"> De Oliveira, brasileiro</w:t>
      </w:r>
      <w:r w:rsidRPr="00E97873">
        <w:rPr>
          <w:rFonts w:ascii="Arial Narrow" w:hAnsi="Arial Narrow" w:cs="Arial"/>
          <w:sz w:val="20"/>
          <w:szCs w:val="20"/>
        </w:rPr>
        <w:t>,</w:t>
      </w:r>
      <w:r w:rsidR="000A5E86">
        <w:rPr>
          <w:rFonts w:ascii="Arial Narrow" w:hAnsi="Arial Narrow" w:cs="Arial"/>
          <w:sz w:val="20"/>
          <w:szCs w:val="20"/>
        </w:rPr>
        <w:t xml:space="preserve"> inscrito no CPF sob o nº 754.636.012-91</w:t>
      </w:r>
      <w:r w:rsidRPr="00E97873">
        <w:rPr>
          <w:rFonts w:ascii="Arial Narrow" w:hAnsi="Arial Narrow" w:cs="Arial"/>
          <w:sz w:val="20"/>
          <w:szCs w:val="20"/>
        </w:rPr>
        <w:t>, c</w:t>
      </w:r>
      <w:r w:rsidR="000A5E86">
        <w:rPr>
          <w:rFonts w:ascii="Arial Narrow" w:hAnsi="Arial Narrow" w:cs="Arial"/>
          <w:sz w:val="20"/>
          <w:szCs w:val="20"/>
        </w:rPr>
        <w:t>arteira de identidade nº 001244674 expedida pela SSP/MS</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F560BE">
        <w:rPr>
          <w:rFonts w:ascii="Arial Narrow" w:hAnsi="Arial Narrow" w:cs="Arial"/>
          <w:bCs/>
          <w:color w:val="000000"/>
          <w:sz w:val="20"/>
          <w:szCs w:val="20"/>
        </w:rPr>
        <w:t xml:space="preserve">Presencial </w:t>
      </w:r>
      <w:r w:rsidRPr="00E97873">
        <w:rPr>
          <w:rFonts w:ascii="Arial Narrow" w:hAnsi="Arial Narrow" w:cs="Arial"/>
          <w:bCs/>
          <w:color w:val="000000"/>
          <w:sz w:val="20"/>
          <w:szCs w:val="20"/>
        </w:rPr>
        <w:t>nº 0</w:t>
      </w:r>
      <w:r w:rsidR="00216A0A">
        <w:rPr>
          <w:rFonts w:ascii="Arial Narrow" w:hAnsi="Arial Narrow" w:cs="Arial"/>
          <w:bCs/>
          <w:color w:val="000000"/>
          <w:sz w:val="20"/>
          <w:szCs w:val="20"/>
        </w:rPr>
        <w:t>01/2023</w:t>
      </w:r>
      <w:r w:rsidRPr="00E97873">
        <w:rPr>
          <w:rFonts w:ascii="Arial Narrow" w:hAnsi="Arial Narrow" w:cs="Arial"/>
          <w:bCs/>
          <w:color w:val="000000"/>
          <w:sz w:val="20"/>
          <w:szCs w:val="20"/>
        </w:rPr>
        <w:t xml:space="preserve">, que foi constituída através do Protocolo Administrativo nº </w:t>
      </w:r>
      <w:r w:rsidR="00216A0A">
        <w:rPr>
          <w:rFonts w:ascii="Arial Narrow" w:hAnsi="Arial Narrow" w:cs="Arial"/>
          <w:bCs/>
          <w:color w:val="000000"/>
          <w:sz w:val="20"/>
          <w:szCs w:val="20"/>
        </w:rPr>
        <w:t>977/2022,</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1AC8693D" w14:textId="77777777" w:rsidR="00D9358E" w:rsidRDefault="00D9358E" w:rsidP="00D9358E">
      <w:pPr>
        <w:autoSpaceDE w:val="0"/>
        <w:autoSpaceDN w:val="0"/>
        <w:adjustRightInd w:val="0"/>
        <w:rPr>
          <w:rFonts w:ascii="Arial Narrow" w:hAnsi="Arial Narrow" w:cs="Arial"/>
          <w:b/>
          <w:bCs/>
          <w:sz w:val="21"/>
          <w:szCs w:val="21"/>
        </w:rPr>
      </w:pPr>
    </w:p>
    <w:p w14:paraId="1579F6B8" w14:textId="77777777" w:rsidR="00D9358E" w:rsidRPr="00594A67" w:rsidRDefault="00D9358E" w:rsidP="00D9358E">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02FAB51C" w14:textId="01099C88" w:rsidR="00D9358E" w:rsidRPr="00C5356C" w:rsidRDefault="00D9358E" w:rsidP="00D935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de </w:t>
      </w:r>
      <w:r w:rsidRPr="00C5356C">
        <w:rPr>
          <w:rFonts w:ascii="Arial Narrow" w:hAnsi="Arial Narrow" w:cs="Arial"/>
          <w:b/>
          <w:bCs/>
          <w:sz w:val="20"/>
          <w:szCs w:val="20"/>
        </w:rPr>
        <w:t>PREÇOS</w:t>
      </w:r>
      <w:r w:rsidRPr="00C5356C">
        <w:rPr>
          <w:rFonts w:ascii="Arial Narrow" w:hAnsi="Arial Narrow" w:cs="Arial"/>
          <w:sz w:val="20"/>
          <w:szCs w:val="20"/>
        </w:rPr>
        <w:t xml:space="preserve"> de</w:t>
      </w:r>
      <w:r w:rsidR="00216A0A">
        <w:rPr>
          <w:rFonts w:ascii="Arial Narrow" w:hAnsi="Arial Narrow" w:cs="Arial"/>
          <w:sz w:val="20"/>
          <w:szCs w:val="20"/>
        </w:rPr>
        <w:t xml:space="preserve"> </w:t>
      </w:r>
      <w:r w:rsidR="00216A0A" w:rsidRPr="004D387A">
        <w:rPr>
          <w:rFonts w:ascii="Arial Narrow" w:hAnsi="Arial Narrow" w:cs="Arial"/>
          <w:b/>
          <w:bCs/>
          <w:sz w:val="22"/>
          <w:szCs w:val="22"/>
        </w:rPr>
        <w:t>REGISTRO DE PREÇOS</w:t>
      </w:r>
      <w:r w:rsidR="00216A0A" w:rsidRPr="004D387A">
        <w:rPr>
          <w:rFonts w:ascii="Arial Narrow" w:hAnsi="Arial Narrow" w:cs="Arial"/>
          <w:sz w:val="22"/>
          <w:szCs w:val="22"/>
        </w:rPr>
        <w:t xml:space="preserve"> </w:t>
      </w:r>
      <w:r w:rsidR="00216A0A" w:rsidRPr="009B549D">
        <w:rPr>
          <w:rFonts w:ascii="Arial Narrow" w:hAnsi="Arial Narrow" w:cs="Arial"/>
          <w:b/>
          <w:bCs/>
          <w:sz w:val="22"/>
          <w:szCs w:val="22"/>
        </w:rPr>
        <w:t xml:space="preserve">DE </w:t>
      </w:r>
      <w:r w:rsidR="00216A0A" w:rsidRPr="00245D9D">
        <w:rPr>
          <w:rFonts w:ascii="Arial Narrow" w:hAnsi="Arial Narrow" w:cstheme="minorHAnsi"/>
          <w:b/>
          <w:sz w:val="22"/>
          <w:szCs w:val="22"/>
        </w:rPr>
        <w:t>E</w:t>
      </w:r>
      <w:r w:rsidR="00216A0A">
        <w:rPr>
          <w:rFonts w:ascii="Arial Narrow" w:hAnsi="Arial Narrow"/>
          <w:b/>
          <w:color w:val="000000"/>
          <w:sz w:val="22"/>
          <w:szCs w:val="22"/>
        </w:rPr>
        <w:t>QUIPAMENTOS, PERIFERICOS, SUPRIMENTOS E MATERIAIS DE INFORMÁTICA</w:t>
      </w:r>
      <w:r w:rsidR="00216A0A">
        <w:rPr>
          <w:rFonts w:ascii="Arial Narrow" w:hAnsi="Arial Narrow" w:cs="Arial"/>
          <w:sz w:val="20"/>
          <w:szCs w:val="20"/>
        </w:rPr>
        <w:t xml:space="preserve">, </w:t>
      </w:r>
      <w:r w:rsidRPr="00C5356C">
        <w:rPr>
          <w:rFonts w:ascii="Arial Narrow" w:hAnsi="Arial Narrow" w:cs="Arial"/>
          <w:sz w:val="20"/>
          <w:szCs w:val="20"/>
        </w:rPr>
        <w:t>que serão adquiridos quando deles o Município tiver necessidade, conforme estabelecido neste edital e seus anexos.</w:t>
      </w:r>
    </w:p>
    <w:p w14:paraId="6702927D"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68BAC2C4"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deste edital são meramente estimativos, não acarretando qualquer obrigação quanto a sua aquisição por parte desta municipalidade.</w:t>
      </w:r>
    </w:p>
    <w:p w14:paraId="5FCEC59F"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1A805E99" w14:textId="77777777" w:rsidR="00D9358E" w:rsidRPr="00C5356C" w:rsidRDefault="00D9358E" w:rsidP="00D9358E">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49B9D465" w14:textId="77777777" w:rsidR="00D9358E" w:rsidRPr="00C5356C" w:rsidRDefault="00D9358E" w:rsidP="00D9358E">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79160519"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5CCE8B30" w14:textId="77777777" w:rsidR="00D9358E" w:rsidRPr="00C5356C" w:rsidRDefault="00D9358E" w:rsidP="00D9358E">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Pr="00C5356C">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acompanhados do respectivo manual de instruções, em português, para uso, conservação e manutenção dos equipamentos. </w:t>
      </w:r>
    </w:p>
    <w:p w14:paraId="7ABE9B0F" w14:textId="77777777" w:rsidR="00D9358E" w:rsidRPr="00C5356C" w:rsidRDefault="00D9358E" w:rsidP="00D9358E">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Os equipamentos deverão possuir garantia mínima de 12 meses, contra defeitos de fabricação, a contar da entrega do bem.</w:t>
      </w:r>
    </w:p>
    <w:p w14:paraId="7D4F7A7E" w14:textId="4CE5990B"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1.1</w:t>
      </w:r>
      <w:r>
        <w:rPr>
          <w:rFonts w:ascii="Arial Narrow" w:hAnsi="Arial Narrow" w:cs="Arial"/>
          <w:b/>
          <w:sz w:val="20"/>
          <w:szCs w:val="20"/>
        </w:rPr>
        <w:t xml:space="preserve">0 </w:t>
      </w:r>
      <w:r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Pr>
          <w:rFonts w:ascii="Arial Narrow" w:hAnsi="Arial Narrow" w:cs="Arial"/>
          <w:sz w:val="20"/>
          <w:szCs w:val="20"/>
        </w:rPr>
        <w:t>Eletrônico</w:t>
      </w:r>
      <w:r w:rsidRPr="00594A67">
        <w:rPr>
          <w:rFonts w:ascii="Arial Narrow" w:hAnsi="Arial Narrow" w:cs="Arial"/>
          <w:sz w:val="20"/>
          <w:szCs w:val="20"/>
        </w:rPr>
        <w:t xml:space="preserve"> nº 0</w:t>
      </w:r>
      <w:r w:rsidR="00216A0A">
        <w:rPr>
          <w:rFonts w:ascii="Arial Narrow" w:hAnsi="Arial Narrow" w:cs="Arial"/>
          <w:sz w:val="20"/>
          <w:szCs w:val="20"/>
        </w:rPr>
        <w:t>01</w:t>
      </w:r>
      <w:r w:rsidRPr="00594A67">
        <w:rPr>
          <w:rFonts w:ascii="Arial Narrow" w:hAnsi="Arial Narrow" w:cs="Arial"/>
          <w:sz w:val="20"/>
          <w:szCs w:val="20"/>
        </w:rPr>
        <w:t>/20</w:t>
      </w:r>
      <w:r>
        <w:rPr>
          <w:rFonts w:ascii="Arial Narrow" w:hAnsi="Arial Narrow" w:cs="Arial"/>
          <w:sz w:val="20"/>
          <w:szCs w:val="20"/>
        </w:rPr>
        <w:t>2</w:t>
      </w:r>
      <w:r w:rsidR="00216A0A">
        <w:rPr>
          <w:rFonts w:ascii="Arial Narrow" w:hAnsi="Arial Narrow" w:cs="Arial"/>
          <w:sz w:val="20"/>
          <w:szCs w:val="20"/>
        </w:rPr>
        <w:t>3</w:t>
      </w:r>
      <w:r w:rsidRPr="00594A67">
        <w:rPr>
          <w:rFonts w:ascii="Arial Narrow" w:hAnsi="Arial Narrow" w:cs="Arial"/>
          <w:sz w:val="20"/>
          <w:szCs w:val="20"/>
        </w:rPr>
        <w:t xml:space="preserve"> e seus anexos.</w:t>
      </w:r>
    </w:p>
    <w:p w14:paraId="6D1B3147" w14:textId="77777777" w:rsidR="00D9358E" w:rsidRPr="00594A67" w:rsidRDefault="00D9358E" w:rsidP="00D9358E">
      <w:pPr>
        <w:jc w:val="both"/>
        <w:rPr>
          <w:rFonts w:ascii="Arial Narrow" w:hAnsi="Arial Narrow" w:cs="Arial"/>
          <w:sz w:val="20"/>
          <w:szCs w:val="20"/>
        </w:rPr>
      </w:pPr>
    </w:p>
    <w:p w14:paraId="473E5439" w14:textId="77777777"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3D31EA0C" w14:textId="4FD27D5D" w:rsidR="00D9358E" w:rsidRPr="00594A67" w:rsidRDefault="00D9358E" w:rsidP="00D9358E">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Pr>
          <w:rFonts w:ascii="Arial Narrow" w:hAnsi="Arial Narrow" w:cs="Arial"/>
          <w:sz w:val="20"/>
          <w:szCs w:val="20"/>
        </w:rPr>
        <w:t>dos</w:t>
      </w:r>
      <w:r w:rsidRPr="00594A67">
        <w:rPr>
          <w:rFonts w:ascii="Arial Narrow" w:hAnsi="Arial Narrow" w:cs="Arial"/>
          <w:sz w:val="20"/>
          <w:szCs w:val="20"/>
        </w:rPr>
        <w:t xml:space="preserve"> participantes do Pregão </w:t>
      </w:r>
      <w:r w:rsidR="00F560BE">
        <w:rPr>
          <w:rFonts w:ascii="Arial Narrow" w:hAnsi="Arial Narrow" w:cs="Arial"/>
          <w:sz w:val="20"/>
          <w:szCs w:val="20"/>
        </w:rPr>
        <w:t>Presencial</w:t>
      </w:r>
      <w:r w:rsidRPr="00594A67">
        <w:rPr>
          <w:rFonts w:ascii="Arial Narrow" w:hAnsi="Arial Narrow" w:cs="Arial"/>
          <w:sz w:val="20"/>
          <w:szCs w:val="20"/>
        </w:rPr>
        <w:t xml:space="preserve"> nº 0</w:t>
      </w:r>
      <w:r w:rsidR="00216A0A">
        <w:rPr>
          <w:rFonts w:ascii="Arial Narrow" w:hAnsi="Arial Narrow" w:cs="Arial"/>
          <w:sz w:val="20"/>
          <w:szCs w:val="20"/>
        </w:rPr>
        <w:t>01/2023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w:t>
      </w:r>
      <w:r w:rsidR="00F560BE">
        <w:rPr>
          <w:rFonts w:ascii="Arial Narrow" w:hAnsi="Arial Narrow" w:cs="Arial"/>
          <w:color w:val="000000"/>
          <w:sz w:val="20"/>
          <w:szCs w:val="20"/>
        </w:rPr>
        <w:t>a</w:t>
      </w:r>
      <w:r w:rsidRPr="00594A67">
        <w:rPr>
          <w:rFonts w:ascii="Arial Narrow" w:hAnsi="Arial Narrow" w:cs="Arial"/>
          <w:color w:val="000000"/>
          <w:sz w:val="20"/>
          <w:szCs w:val="20"/>
        </w:rPr>
        <w:t>zo de validade do Registro Preços.</w:t>
      </w:r>
    </w:p>
    <w:p w14:paraId="3EEC91F2" w14:textId="75493B71"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Pr>
          <w:rFonts w:ascii="Arial Narrow" w:hAnsi="Arial Narrow" w:cs="Arial"/>
          <w:sz w:val="20"/>
          <w:szCs w:val="20"/>
        </w:rPr>
        <w:t>, vencedora do P</w:t>
      </w:r>
      <w:r w:rsidR="00216A0A">
        <w:rPr>
          <w:rFonts w:ascii="Arial Narrow" w:hAnsi="Arial Narrow" w:cs="Arial"/>
          <w:sz w:val="20"/>
          <w:szCs w:val="20"/>
        </w:rPr>
        <w:t>regão Presencial 001</w:t>
      </w:r>
      <w:r>
        <w:rPr>
          <w:rFonts w:ascii="Arial Narrow" w:hAnsi="Arial Narrow" w:cs="Arial"/>
          <w:sz w:val="20"/>
          <w:szCs w:val="20"/>
        </w:rPr>
        <w:t>/2</w:t>
      </w:r>
      <w:r w:rsidR="00216A0A">
        <w:rPr>
          <w:rFonts w:ascii="Arial Narrow" w:hAnsi="Arial Narrow" w:cs="Arial"/>
          <w:sz w:val="20"/>
          <w:szCs w:val="20"/>
        </w:rPr>
        <w:t>023</w:t>
      </w:r>
      <w:r w:rsidRPr="00594A67">
        <w:rPr>
          <w:rFonts w:ascii="Arial Narrow" w:hAnsi="Arial Narrow" w:cs="Arial"/>
          <w:sz w:val="20"/>
          <w:szCs w:val="20"/>
        </w:rPr>
        <w:t>:</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709"/>
        <w:gridCol w:w="850"/>
        <w:gridCol w:w="1134"/>
        <w:gridCol w:w="2835"/>
        <w:gridCol w:w="1418"/>
        <w:gridCol w:w="1134"/>
        <w:gridCol w:w="1559"/>
      </w:tblGrid>
      <w:tr w:rsidR="000A5E86" w:rsidRPr="000174F2" w14:paraId="08D5D817" w14:textId="77777777" w:rsidTr="009565A5">
        <w:trPr>
          <w:cantSplit/>
          <w:trHeight w:val="212"/>
        </w:trPr>
        <w:tc>
          <w:tcPr>
            <w:tcW w:w="709" w:type="dxa"/>
            <w:vMerge w:val="restart"/>
            <w:tcBorders>
              <w:top w:val="single" w:sz="12" w:space="0" w:color="auto"/>
              <w:left w:val="single" w:sz="12" w:space="0" w:color="auto"/>
              <w:bottom w:val="single" w:sz="12" w:space="0" w:color="auto"/>
              <w:right w:val="single" w:sz="12" w:space="0" w:color="auto"/>
            </w:tcBorders>
            <w:hideMark/>
          </w:tcPr>
          <w:p w14:paraId="2AD00CBA" w14:textId="77777777" w:rsidR="000A5E86" w:rsidRPr="000174F2" w:rsidRDefault="000A5E86" w:rsidP="00F24150">
            <w:pPr>
              <w:tabs>
                <w:tab w:val="left" w:pos="708"/>
                <w:tab w:val="center" w:pos="4252"/>
                <w:tab w:val="right" w:pos="8504"/>
              </w:tabs>
              <w:spacing w:line="276" w:lineRule="auto"/>
              <w:jc w:val="center"/>
              <w:rPr>
                <w:rFonts w:eastAsiaTheme="minorHAnsi"/>
                <w:b/>
                <w:sz w:val="16"/>
                <w:szCs w:val="16"/>
                <w:lang w:eastAsia="en-US"/>
              </w:rPr>
            </w:pPr>
            <w:r w:rsidRPr="000174F2">
              <w:rPr>
                <w:rFonts w:eastAsiaTheme="minorHAnsi"/>
                <w:b/>
                <w:sz w:val="16"/>
                <w:szCs w:val="16"/>
                <w:lang w:eastAsia="en-US"/>
              </w:rPr>
              <w:t>ITEM</w:t>
            </w:r>
          </w:p>
        </w:tc>
        <w:tc>
          <w:tcPr>
            <w:tcW w:w="850" w:type="dxa"/>
            <w:vMerge w:val="restart"/>
            <w:tcBorders>
              <w:top w:val="single" w:sz="12" w:space="0" w:color="auto"/>
              <w:left w:val="single" w:sz="12" w:space="0" w:color="auto"/>
              <w:bottom w:val="single" w:sz="12" w:space="0" w:color="auto"/>
              <w:right w:val="single" w:sz="12" w:space="0" w:color="auto"/>
            </w:tcBorders>
            <w:hideMark/>
          </w:tcPr>
          <w:p w14:paraId="0A84FFAF" w14:textId="77777777" w:rsidR="000A5E86" w:rsidRPr="000174F2" w:rsidRDefault="000A5E86" w:rsidP="00F24150">
            <w:pPr>
              <w:spacing w:line="276" w:lineRule="auto"/>
              <w:jc w:val="center"/>
              <w:rPr>
                <w:b/>
                <w:sz w:val="16"/>
                <w:szCs w:val="16"/>
                <w:lang w:eastAsia="en-US"/>
              </w:rPr>
            </w:pPr>
            <w:r w:rsidRPr="000174F2">
              <w:rPr>
                <w:b/>
                <w:sz w:val="16"/>
                <w:szCs w:val="16"/>
                <w:lang w:eastAsia="en-US"/>
              </w:rPr>
              <w:t>UN</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2B519453" w14:textId="77777777" w:rsidR="000A5E86" w:rsidRPr="000174F2" w:rsidRDefault="000A5E86" w:rsidP="00F24150">
            <w:pPr>
              <w:spacing w:line="276" w:lineRule="auto"/>
              <w:ind w:right="-37"/>
              <w:jc w:val="center"/>
              <w:rPr>
                <w:b/>
                <w:sz w:val="16"/>
                <w:szCs w:val="16"/>
                <w:lang w:eastAsia="en-US"/>
              </w:rPr>
            </w:pPr>
            <w:r w:rsidRPr="000174F2">
              <w:rPr>
                <w:b/>
                <w:sz w:val="16"/>
                <w:szCs w:val="16"/>
                <w:lang w:eastAsia="en-US"/>
              </w:rPr>
              <w:t xml:space="preserve">QUANT. </w:t>
            </w:r>
          </w:p>
        </w:tc>
        <w:tc>
          <w:tcPr>
            <w:tcW w:w="2835" w:type="dxa"/>
            <w:vMerge w:val="restart"/>
            <w:tcBorders>
              <w:top w:val="single" w:sz="12" w:space="0" w:color="auto"/>
              <w:left w:val="single" w:sz="12" w:space="0" w:color="auto"/>
              <w:bottom w:val="single" w:sz="12" w:space="0" w:color="auto"/>
              <w:right w:val="single" w:sz="12" w:space="0" w:color="auto"/>
            </w:tcBorders>
            <w:hideMark/>
          </w:tcPr>
          <w:p w14:paraId="73B3ED05" w14:textId="77777777" w:rsidR="000A5E86" w:rsidRPr="000174F2" w:rsidRDefault="000A5E86" w:rsidP="00F24150">
            <w:pPr>
              <w:spacing w:line="276" w:lineRule="auto"/>
              <w:jc w:val="center"/>
              <w:rPr>
                <w:b/>
                <w:sz w:val="16"/>
                <w:szCs w:val="16"/>
                <w:lang w:eastAsia="en-US"/>
              </w:rPr>
            </w:pPr>
            <w:r w:rsidRPr="000174F2">
              <w:rPr>
                <w:b/>
                <w:sz w:val="16"/>
                <w:szCs w:val="16"/>
                <w:lang w:eastAsia="en-US"/>
              </w:rPr>
              <w:t xml:space="preserve">DESCRIÇÃO </w:t>
            </w:r>
          </w:p>
        </w:tc>
        <w:tc>
          <w:tcPr>
            <w:tcW w:w="1418" w:type="dxa"/>
            <w:vMerge w:val="restart"/>
            <w:tcBorders>
              <w:top w:val="single" w:sz="12" w:space="0" w:color="auto"/>
              <w:left w:val="single" w:sz="12" w:space="0" w:color="auto"/>
              <w:bottom w:val="single" w:sz="12" w:space="0" w:color="auto"/>
              <w:right w:val="single" w:sz="12" w:space="0" w:color="auto"/>
            </w:tcBorders>
            <w:hideMark/>
          </w:tcPr>
          <w:p w14:paraId="5898D3D9" w14:textId="77777777" w:rsidR="000A5E86" w:rsidRPr="000174F2" w:rsidRDefault="000A5E86" w:rsidP="00F24150">
            <w:pPr>
              <w:spacing w:line="276" w:lineRule="auto"/>
              <w:jc w:val="center"/>
              <w:rPr>
                <w:b/>
                <w:sz w:val="16"/>
                <w:szCs w:val="16"/>
                <w:lang w:eastAsia="en-US"/>
              </w:rPr>
            </w:pPr>
            <w:r w:rsidRPr="000174F2">
              <w:rPr>
                <w:b/>
                <w:sz w:val="16"/>
                <w:szCs w:val="16"/>
                <w:lang w:eastAsia="en-US"/>
              </w:rPr>
              <w:t>MARCA MODELO</w:t>
            </w:r>
          </w:p>
        </w:tc>
        <w:tc>
          <w:tcPr>
            <w:tcW w:w="2693" w:type="dxa"/>
            <w:gridSpan w:val="2"/>
            <w:tcBorders>
              <w:top w:val="single" w:sz="12" w:space="0" w:color="auto"/>
              <w:bottom w:val="single" w:sz="12" w:space="0" w:color="auto"/>
              <w:right w:val="single" w:sz="12" w:space="0" w:color="auto"/>
            </w:tcBorders>
            <w:shd w:val="clear" w:color="auto" w:fill="auto"/>
          </w:tcPr>
          <w:p w14:paraId="7A040F8F" w14:textId="77777777" w:rsidR="000A5E86" w:rsidRPr="000174F2" w:rsidRDefault="000A5E86" w:rsidP="00F24150">
            <w:pPr>
              <w:spacing w:after="200" w:line="276" w:lineRule="auto"/>
              <w:rPr>
                <w:rFonts w:eastAsiaTheme="minorHAnsi"/>
                <w:b/>
                <w:sz w:val="16"/>
                <w:szCs w:val="16"/>
              </w:rPr>
            </w:pPr>
            <w:r w:rsidRPr="000174F2">
              <w:rPr>
                <w:rFonts w:eastAsiaTheme="minorHAnsi"/>
                <w:b/>
                <w:sz w:val="16"/>
                <w:szCs w:val="16"/>
              </w:rPr>
              <w:t>VALOR TOTAL R$</w:t>
            </w:r>
          </w:p>
        </w:tc>
      </w:tr>
      <w:tr w:rsidR="000A5E86" w14:paraId="044C0244" w14:textId="77777777" w:rsidTr="009565A5">
        <w:trPr>
          <w:cantSplit/>
          <w:trHeight w:val="40"/>
        </w:trPr>
        <w:tc>
          <w:tcPr>
            <w:tcW w:w="709" w:type="dxa"/>
            <w:vMerge/>
            <w:tcBorders>
              <w:top w:val="single" w:sz="12" w:space="0" w:color="auto"/>
              <w:left w:val="single" w:sz="12" w:space="0" w:color="auto"/>
              <w:bottom w:val="single" w:sz="12" w:space="0" w:color="auto"/>
              <w:right w:val="single" w:sz="12" w:space="0" w:color="auto"/>
            </w:tcBorders>
            <w:vAlign w:val="center"/>
            <w:hideMark/>
          </w:tcPr>
          <w:p w14:paraId="0ECF96A4" w14:textId="77777777" w:rsidR="000A5E86" w:rsidRDefault="000A5E86" w:rsidP="00F24150">
            <w:pPr>
              <w:spacing w:line="276" w:lineRule="auto"/>
              <w:rPr>
                <w:rFonts w:eastAsiaTheme="minorHAnsi"/>
                <w:b/>
                <w:sz w:val="16"/>
                <w:szCs w:val="16"/>
                <w:lang w:eastAsia="en-US"/>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4CD2D277" w14:textId="77777777" w:rsidR="000A5E86" w:rsidRDefault="000A5E86" w:rsidP="00F24150">
            <w:pPr>
              <w:spacing w:line="276" w:lineRule="auto"/>
              <w:rPr>
                <w:b/>
                <w:sz w:val="16"/>
                <w:szCs w:val="16"/>
                <w:lang w:eastAsia="en-US"/>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4EE1049C" w14:textId="77777777" w:rsidR="000A5E86" w:rsidRDefault="000A5E86" w:rsidP="00F24150">
            <w:pPr>
              <w:spacing w:line="276" w:lineRule="auto"/>
              <w:rPr>
                <w:b/>
                <w:sz w:val="16"/>
                <w:szCs w:val="16"/>
                <w:lang w:eastAsia="en-US"/>
              </w:rPr>
            </w:pPr>
          </w:p>
        </w:tc>
        <w:tc>
          <w:tcPr>
            <w:tcW w:w="2835" w:type="dxa"/>
            <w:vMerge/>
            <w:tcBorders>
              <w:top w:val="single" w:sz="12" w:space="0" w:color="auto"/>
              <w:left w:val="single" w:sz="12" w:space="0" w:color="auto"/>
              <w:bottom w:val="single" w:sz="12" w:space="0" w:color="auto"/>
              <w:right w:val="single" w:sz="12" w:space="0" w:color="auto"/>
            </w:tcBorders>
            <w:vAlign w:val="center"/>
            <w:hideMark/>
          </w:tcPr>
          <w:p w14:paraId="297AA54C" w14:textId="77777777" w:rsidR="000A5E86" w:rsidRDefault="000A5E86" w:rsidP="00F24150">
            <w:pPr>
              <w:spacing w:line="276" w:lineRule="auto"/>
              <w:rPr>
                <w:sz w:val="16"/>
                <w:szCs w:val="16"/>
                <w:lang w:eastAsia="en-US"/>
              </w:rPr>
            </w:pP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6124192B" w14:textId="77777777" w:rsidR="000A5E86" w:rsidRDefault="000A5E86" w:rsidP="00F24150">
            <w:pPr>
              <w:spacing w:line="276" w:lineRule="auto"/>
              <w:rPr>
                <w:sz w:val="16"/>
                <w:szCs w:val="16"/>
                <w:lang w:eastAsia="en-US"/>
              </w:rPr>
            </w:pPr>
          </w:p>
        </w:tc>
        <w:tc>
          <w:tcPr>
            <w:tcW w:w="1134" w:type="dxa"/>
            <w:tcBorders>
              <w:top w:val="single" w:sz="12" w:space="0" w:color="auto"/>
              <w:left w:val="single" w:sz="12" w:space="0" w:color="auto"/>
              <w:bottom w:val="single" w:sz="12" w:space="0" w:color="auto"/>
              <w:right w:val="single" w:sz="12" w:space="0" w:color="auto"/>
            </w:tcBorders>
            <w:hideMark/>
          </w:tcPr>
          <w:p w14:paraId="40E6682E" w14:textId="77777777" w:rsidR="000A5E86" w:rsidRDefault="000A5E86" w:rsidP="00F24150">
            <w:pPr>
              <w:spacing w:line="276" w:lineRule="auto"/>
              <w:rPr>
                <w:b/>
                <w:sz w:val="16"/>
                <w:szCs w:val="16"/>
                <w:lang w:eastAsia="en-US"/>
              </w:rPr>
            </w:pPr>
            <w:r>
              <w:rPr>
                <w:b/>
                <w:sz w:val="16"/>
                <w:szCs w:val="16"/>
                <w:lang w:eastAsia="en-US"/>
              </w:rPr>
              <w:t xml:space="preserve">     UNIT.</w:t>
            </w:r>
          </w:p>
        </w:tc>
        <w:tc>
          <w:tcPr>
            <w:tcW w:w="1559" w:type="dxa"/>
            <w:tcBorders>
              <w:top w:val="single" w:sz="12" w:space="0" w:color="auto"/>
              <w:left w:val="single" w:sz="12" w:space="0" w:color="auto"/>
              <w:bottom w:val="single" w:sz="12" w:space="0" w:color="auto"/>
              <w:right w:val="single" w:sz="12" w:space="0" w:color="auto"/>
            </w:tcBorders>
            <w:hideMark/>
          </w:tcPr>
          <w:p w14:paraId="62377337" w14:textId="77777777" w:rsidR="000A5E86" w:rsidRDefault="000A5E86" w:rsidP="00F24150">
            <w:pPr>
              <w:spacing w:line="276" w:lineRule="auto"/>
              <w:jc w:val="center"/>
              <w:rPr>
                <w:b/>
                <w:sz w:val="16"/>
                <w:szCs w:val="16"/>
                <w:lang w:eastAsia="en-US"/>
              </w:rPr>
            </w:pPr>
            <w:r>
              <w:rPr>
                <w:b/>
                <w:sz w:val="16"/>
                <w:szCs w:val="16"/>
                <w:lang w:eastAsia="en-US"/>
              </w:rPr>
              <w:t>TOTAL</w:t>
            </w:r>
          </w:p>
        </w:tc>
      </w:tr>
      <w:tr w:rsidR="000A5E86" w14:paraId="486174DF"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tcPr>
          <w:p w14:paraId="72FF92C9" w14:textId="77777777" w:rsidR="000A5E86" w:rsidRDefault="000A5E86" w:rsidP="00F24150">
            <w:pPr>
              <w:spacing w:line="276" w:lineRule="auto"/>
              <w:jc w:val="both"/>
              <w:textAlignment w:val="center"/>
              <w:rPr>
                <w:sz w:val="20"/>
                <w:szCs w:val="20"/>
                <w:lang w:eastAsia="en-US"/>
              </w:rPr>
            </w:pPr>
            <w:r>
              <w:rPr>
                <w:sz w:val="20"/>
                <w:szCs w:val="20"/>
                <w:lang w:eastAsia="en-US"/>
              </w:rPr>
              <w:t>04</w:t>
            </w:r>
          </w:p>
          <w:p w14:paraId="51AF300A" w14:textId="77777777" w:rsidR="000A5E86" w:rsidRDefault="000A5E86" w:rsidP="00F24150">
            <w:pPr>
              <w:spacing w:line="276" w:lineRule="auto"/>
              <w:jc w:val="both"/>
              <w:textAlignment w:val="center"/>
              <w:rPr>
                <w:sz w:val="20"/>
                <w:szCs w:val="20"/>
                <w:lang w:eastAsia="en-US"/>
              </w:rPr>
            </w:pPr>
          </w:p>
          <w:p w14:paraId="48D2D5C3" w14:textId="77777777" w:rsidR="000A5E86" w:rsidRDefault="000A5E86" w:rsidP="00F24150">
            <w:pPr>
              <w:spacing w:line="276" w:lineRule="auto"/>
              <w:jc w:val="both"/>
              <w:textAlignment w:val="center"/>
              <w:rPr>
                <w:sz w:val="20"/>
                <w:szCs w:val="20"/>
                <w:lang w:eastAsia="en-US"/>
              </w:rPr>
            </w:pPr>
          </w:p>
          <w:p w14:paraId="5B5F636B" w14:textId="77777777" w:rsidR="000A5E86" w:rsidRDefault="000A5E86" w:rsidP="00F24150">
            <w:pPr>
              <w:spacing w:line="276" w:lineRule="auto"/>
              <w:jc w:val="both"/>
              <w:textAlignment w:val="center"/>
              <w:rPr>
                <w:sz w:val="20"/>
                <w:szCs w:val="20"/>
                <w:lang w:eastAsia="en-US"/>
              </w:rPr>
            </w:pPr>
          </w:p>
          <w:p w14:paraId="7575E7F2" w14:textId="77777777" w:rsidR="000A5E86" w:rsidRDefault="000A5E86" w:rsidP="00F24150">
            <w:pPr>
              <w:spacing w:line="276" w:lineRule="auto"/>
              <w:jc w:val="both"/>
              <w:textAlignment w:val="center"/>
              <w:rPr>
                <w:sz w:val="20"/>
                <w:szCs w:val="20"/>
                <w:lang w:eastAsia="en-US"/>
              </w:rPr>
            </w:pPr>
          </w:p>
          <w:p w14:paraId="47501438" w14:textId="77777777" w:rsidR="000A5E86" w:rsidRDefault="000A5E86" w:rsidP="00F24150">
            <w:pPr>
              <w:spacing w:line="276" w:lineRule="auto"/>
              <w:jc w:val="both"/>
              <w:textAlignment w:val="center"/>
              <w:rPr>
                <w:sz w:val="20"/>
                <w:szCs w:val="20"/>
                <w:lang w:eastAsia="en-US"/>
              </w:rPr>
            </w:pPr>
          </w:p>
        </w:tc>
        <w:tc>
          <w:tcPr>
            <w:tcW w:w="850" w:type="dxa"/>
            <w:tcBorders>
              <w:top w:val="single" w:sz="4" w:space="0" w:color="auto"/>
              <w:left w:val="single" w:sz="12" w:space="0" w:color="auto"/>
              <w:bottom w:val="single" w:sz="12" w:space="0" w:color="auto"/>
              <w:right w:val="single" w:sz="12" w:space="0" w:color="auto"/>
            </w:tcBorders>
            <w:hideMark/>
          </w:tcPr>
          <w:p w14:paraId="662471FF"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1F3632AF"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03</w:t>
            </w:r>
          </w:p>
        </w:tc>
        <w:tc>
          <w:tcPr>
            <w:tcW w:w="2835" w:type="dxa"/>
            <w:tcBorders>
              <w:top w:val="single" w:sz="4" w:space="0" w:color="auto"/>
              <w:left w:val="single" w:sz="12" w:space="0" w:color="auto"/>
              <w:bottom w:val="single" w:sz="12" w:space="0" w:color="auto"/>
              <w:right w:val="single" w:sz="12" w:space="0" w:color="auto"/>
            </w:tcBorders>
          </w:tcPr>
          <w:p w14:paraId="7D431E64"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color w:val="000000"/>
                <w:sz w:val="20"/>
                <w:szCs w:val="20"/>
                <w:lang w:eastAsia="en-US"/>
              </w:rPr>
              <w:t>SWITCH GIGABIT NÃO-GERENCIÁVEL E ROTEAMENTO ESTÁTICO DE CAMADA 2, com as especificações mínimas:</w:t>
            </w:r>
            <w:r>
              <w:rPr>
                <w:rFonts w:eastAsia="Calibri"/>
                <w:color w:val="000000"/>
                <w:sz w:val="20"/>
                <w:szCs w:val="20"/>
                <w:lang w:eastAsia="en-US"/>
              </w:rPr>
              <w:t xml:space="preserve"> Tamanho de no máximo 1U </w:t>
            </w:r>
            <w:r>
              <w:rPr>
                <w:rFonts w:eastAsia="Calibri"/>
                <w:color w:val="000000"/>
                <w:sz w:val="20"/>
                <w:szCs w:val="20"/>
                <w:lang w:eastAsia="en-US"/>
              </w:rPr>
              <w:lastRenderedPageBreak/>
              <w:t xml:space="preserve">(Rack Unit), acompanhado de suportes originais do fabricante para instalação em racks 19”. 8 portas Ethernet 10/100/1000 </w:t>
            </w:r>
            <w:proofErr w:type="spellStart"/>
            <w:r>
              <w:rPr>
                <w:rFonts w:eastAsia="Calibri"/>
                <w:color w:val="000000"/>
                <w:sz w:val="20"/>
                <w:szCs w:val="20"/>
                <w:lang w:eastAsia="en-US"/>
              </w:rPr>
              <w:t>BaseT</w:t>
            </w:r>
            <w:proofErr w:type="spellEnd"/>
            <w:r>
              <w:rPr>
                <w:rFonts w:eastAsia="Calibri"/>
                <w:color w:val="000000"/>
                <w:sz w:val="20"/>
                <w:szCs w:val="20"/>
                <w:lang w:eastAsia="en-US"/>
              </w:rPr>
              <w:t xml:space="preserve">, com conectores RJ-45, com suporte a detecção automática. Buffer com suporte de pacote de 2,0Mb, capacidade de produção de 11,9 </w:t>
            </w:r>
            <w:proofErr w:type="spellStart"/>
            <w:r>
              <w:rPr>
                <w:rFonts w:eastAsia="Calibri"/>
                <w:color w:val="000000"/>
                <w:sz w:val="20"/>
                <w:szCs w:val="20"/>
                <w:lang w:eastAsia="en-US"/>
              </w:rPr>
              <w:t>Mpps</w:t>
            </w:r>
            <w:proofErr w:type="spellEnd"/>
            <w:r>
              <w:rPr>
                <w:rFonts w:eastAsia="Calibri"/>
                <w:color w:val="000000"/>
                <w:sz w:val="20"/>
                <w:szCs w:val="20"/>
                <w:lang w:eastAsia="en-US"/>
              </w:rPr>
              <w:t xml:space="preserve"> e capacidade de </w:t>
            </w:r>
            <w:proofErr w:type="spellStart"/>
            <w:r>
              <w:rPr>
                <w:rFonts w:eastAsia="Calibri"/>
                <w:color w:val="000000"/>
                <w:sz w:val="20"/>
                <w:szCs w:val="20"/>
                <w:lang w:eastAsia="en-US"/>
              </w:rPr>
              <w:t>switching</w:t>
            </w:r>
            <w:proofErr w:type="spellEnd"/>
            <w:r>
              <w:rPr>
                <w:rFonts w:eastAsia="Calibri"/>
                <w:color w:val="000000"/>
                <w:sz w:val="20"/>
                <w:szCs w:val="20"/>
                <w:lang w:eastAsia="en-US"/>
              </w:rPr>
              <w:t xml:space="preserve"> de 16 </w:t>
            </w:r>
            <w:proofErr w:type="spellStart"/>
            <w:r>
              <w:rPr>
                <w:rFonts w:eastAsia="Calibri"/>
                <w:color w:val="000000"/>
                <w:sz w:val="20"/>
                <w:szCs w:val="20"/>
                <w:lang w:eastAsia="en-US"/>
              </w:rPr>
              <w:t>Gbps</w:t>
            </w:r>
            <w:proofErr w:type="spellEnd"/>
            <w:r>
              <w:rPr>
                <w:rFonts w:eastAsia="Calibri"/>
                <w:color w:val="000000"/>
                <w:sz w:val="20"/>
                <w:szCs w:val="20"/>
                <w:lang w:eastAsia="en-US"/>
              </w:rPr>
              <w:t>. Tabela de roteamento de 8192 entradas para endereços MAC. Fonte de alimentação externa, com suporte as tensões 100-240 VAC / 60 Hz, acompanhada de cabo de energia. Suporte de qualidade de serviço (</w:t>
            </w:r>
            <w:proofErr w:type="spellStart"/>
            <w:r>
              <w:rPr>
                <w:rFonts w:eastAsia="Calibri"/>
                <w:color w:val="000000"/>
                <w:sz w:val="20"/>
                <w:szCs w:val="20"/>
                <w:lang w:eastAsia="en-US"/>
              </w:rPr>
              <w:t>QoS</w:t>
            </w:r>
            <w:proofErr w:type="spellEnd"/>
            <w:r>
              <w:rPr>
                <w:rFonts w:eastAsia="Calibri"/>
                <w:color w:val="000000"/>
                <w:sz w:val="20"/>
                <w:szCs w:val="20"/>
                <w:lang w:eastAsia="en-US"/>
              </w:rPr>
              <w:t xml:space="preserve">) e recursos de controle de fluxo IEEE 802.3x para melhoria eficiente da rede. Suporte a recursos como </w:t>
            </w:r>
            <w:proofErr w:type="spellStart"/>
            <w:r>
              <w:rPr>
                <w:rFonts w:eastAsia="Calibri"/>
                <w:color w:val="000000"/>
                <w:sz w:val="20"/>
                <w:szCs w:val="20"/>
                <w:lang w:eastAsia="en-US"/>
              </w:rPr>
              <w:t>auto-MDIX</w:t>
            </w:r>
            <w:proofErr w:type="spellEnd"/>
            <w:r>
              <w:rPr>
                <w:rFonts w:eastAsia="Calibri"/>
                <w:color w:val="000000"/>
                <w:sz w:val="20"/>
                <w:szCs w:val="20"/>
                <w:lang w:eastAsia="en-US"/>
              </w:rPr>
              <w:t xml:space="preserve"> e negociação de velocidade automática. Suporte ao padrão Energy </w:t>
            </w:r>
            <w:proofErr w:type="spellStart"/>
            <w:r>
              <w:rPr>
                <w:rFonts w:eastAsia="Calibri"/>
                <w:color w:val="000000"/>
                <w:sz w:val="20"/>
                <w:szCs w:val="20"/>
                <w:lang w:eastAsia="en-US"/>
              </w:rPr>
              <w:t>Efficient</w:t>
            </w:r>
            <w:proofErr w:type="spellEnd"/>
            <w:r>
              <w:rPr>
                <w:rFonts w:eastAsia="Calibri"/>
                <w:color w:val="000000"/>
                <w:sz w:val="20"/>
                <w:szCs w:val="20"/>
                <w:lang w:eastAsia="en-US"/>
              </w:rPr>
              <w:t xml:space="preserve"> Ethernet IEEE 802.3az, bem como modo de desligamento automático em portas ociosas e economia de energia em cabos de curta distância. Equipamento deverá ser do tipo </w:t>
            </w:r>
            <w:proofErr w:type="spellStart"/>
            <w:r>
              <w:rPr>
                <w:rFonts w:eastAsia="Calibri"/>
                <w:color w:val="000000"/>
                <w:sz w:val="20"/>
                <w:szCs w:val="20"/>
                <w:lang w:eastAsia="en-US"/>
              </w:rPr>
              <w:t>fanless</w:t>
            </w:r>
            <w:proofErr w:type="spellEnd"/>
            <w:r>
              <w:rPr>
                <w:rFonts w:eastAsia="Calibri"/>
                <w:color w:val="000000"/>
                <w:sz w:val="20"/>
                <w:szCs w:val="20"/>
                <w:lang w:eastAsia="en-US"/>
              </w:rPr>
              <w:t xml:space="preserve">, para inibição de ruídos e economia de energia. </w:t>
            </w:r>
            <w:r>
              <w:rPr>
                <w:rFonts w:eastAsia="Calibri"/>
                <w:b/>
                <w:bCs/>
                <w:color w:val="000000"/>
                <w:sz w:val="20"/>
                <w:szCs w:val="20"/>
                <w:lang w:eastAsia="en-US"/>
              </w:rPr>
              <w:t>Garantia vitalícia</w:t>
            </w:r>
            <w:r>
              <w:rPr>
                <w:rFonts w:eastAsia="Calibri"/>
                <w:color w:val="000000"/>
                <w:sz w:val="20"/>
                <w:szCs w:val="20"/>
                <w:lang w:eastAsia="en-US"/>
              </w:rPr>
              <w:t xml:space="preserve"> </w:t>
            </w:r>
            <w:r>
              <w:rPr>
                <w:rFonts w:eastAsia="Calibri"/>
                <w:b/>
                <w:bCs/>
                <w:color w:val="000000"/>
                <w:sz w:val="20"/>
                <w:szCs w:val="20"/>
                <w:lang w:eastAsia="en-US"/>
              </w:rPr>
              <w:t>prestada pelo fabricante</w:t>
            </w:r>
            <w:r>
              <w:rPr>
                <w:rFonts w:eastAsia="Calibri"/>
                <w:color w:val="000000"/>
                <w:sz w:val="20"/>
                <w:szCs w:val="20"/>
                <w:lang w:eastAsia="en-US"/>
              </w:rPr>
              <w:t xml:space="preserve"> do equipamento, com atendimento através de sua rede autorizada no Brasil. Durante o prazo de garantia será substituído sem ônus para o CONTRATANTE, a parte ou peça defeituosa, salvo quando o defeito for provocado por uso inadequado dos equipamentos. O fabricante deve possuir central de atendimento tipo (0800) para abertura dos chamados de garantia, mantendo registros dos mesmos constando a descrição </w:t>
            </w:r>
            <w:r>
              <w:rPr>
                <w:rFonts w:eastAsia="Calibri"/>
                <w:color w:val="000000"/>
                <w:sz w:val="20"/>
                <w:szCs w:val="20"/>
                <w:lang w:eastAsia="en-US"/>
              </w:rPr>
              <w:lastRenderedPageBreak/>
              <w:t xml:space="preserve">do problema (informar número). O equipamento deverá ser totalmente integrado de fábrica, não sendo aceitas quaisquer violações ou alteração no conteúdo das embalagens por meio de empresas não autorizadas pelo fabricante, que vise inclusão/supressão de itens/opcionais, para garantir que todas as partes e peças sejam homologadas e cobertas pela garantia do fabricante. O licitante deverá apresentar juntamente com a proposta final, comprovação emitida pelo fabricante do equipamento de que está autorizado a revender seus produtos, afim de que os padrões de garantia solicitados sejam mantidos pelo fabricante nas limitações do Brasil. O Fabricante e/ou equipamento deverá estar em conformidade com os seguintes padrões ROHS, DMTF BOARD, EN/IEC 60950- 1:2006, EN 55032:2015/ CISPR 32, </w:t>
            </w:r>
            <w:proofErr w:type="spellStart"/>
            <w:r>
              <w:rPr>
                <w:rFonts w:eastAsia="Calibri"/>
                <w:color w:val="000000"/>
                <w:sz w:val="20"/>
                <w:szCs w:val="20"/>
                <w:lang w:eastAsia="en-US"/>
              </w:rPr>
              <w:t>Class</w:t>
            </w:r>
            <w:proofErr w:type="spellEnd"/>
            <w:r>
              <w:rPr>
                <w:rFonts w:eastAsia="Calibri"/>
                <w:color w:val="000000"/>
                <w:sz w:val="20"/>
                <w:szCs w:val="20"/>
                <w:lang w:eastAsia="en-US"/>
              </w:rPr>
              <w:t xml:space="preserve"> B, estas certificações poderão ser substituídas por outras equivalentes de âmbito nacional. A proposta deverá destacar claramente a marca, modelo e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ou SKU do equipamento ofertado, devendo ainda ser apresentado juntamente com a proposta, comprovações oficiais do fabricante destacando modelo ofertado, componentes e garantia. No caso das certificações extraídas da internet, apresentar página impressa onde consta tal informação, especificando o endereço eletrônico da fonte extraída. Permitindo que a </w:t>
            </w:r>
            <w:r>
              <w:rPr>
                <w:rFonts w:eastAsia="Calibri"/>
                <w:color w:val="000000"/>
                <w:sz w:val="20"/>
                <w:szCs w:val="20"/>
                <w:lang w:eastAsia="en-US"/>
              </w:rPr>
              <w:lastRenderedPageBreak/>
              <w:t>comissão de licitação, comprove pleno atendimento de todas as características técnicas em conformidade com as descritas no edital e seus anexos, sob pena de desclassificação da proposta.</w:t>
            </w:r>
          </w:p>
          <w:p w14:paraId="12F1D2B9" w14:textId="77777777" w:rsidR="000A5E86" w:rsidRDefault="000A5E86" w:rsidP="00F24150">
            <w:pPr>
              <w:widowControl w:val="0"/>
              <w:autoSpaceDE w:val="0"/>
              <w:autoSpaceDN w:val="0"/>
              <w:spacing w:line="276" w:lineRule="auto"/>
              <w:ind w:left="66" w:right="41"/>
              <w:jc w:val="both"/>
              <w:rPr>
                <w:rFonts w:eastAsia="Tahoma"/>
                <w:sz w:val="20"/>
                <w:szCs w:val="20"/>
                <w:lang w:eastAsia="en-US" w:bidi="pt-BR"/>
              </w:rPr>
            </w:pPr>
          </w:p>
        </w:tc>
        <w:tc>
          <w:tcPr>
            <w:tcW w:w="1418" w:type="dxa"/>
            <w:tcBorders>
              <w:top w:val="single" w:sz="12" w:space="0" w:color="auto"/>
              <w:left w:val="single" w:sz="12" w:space="0" w:color="auto"/>
              <w:bottom w:val="single" w:sz="12" w:space="0" w:color="auto"/>
              <w:right w:val="single" w:sz="12" w:space="0" w:color="auto"/>
            </w:tcBorders>
          </w:tcPr>
          <w:p w14:paraId="622DC85D" w14:textId="77777777" w:rsidR="000A5E86" w:rsidRDefault="000A5E86" w:rsidP="00F24150">
            <w:pPr>
              <w:spacing w:line="276" w:lineRule="auto"/>
              <w:jc w:val="center"/>
              <w:rPr>
                <w:sz w:val="20"/>
                <w:szCs w:val="20"/>
                <w:lang w:eastAsia="en-US"/>
              </w:rPr>
            </w:pPr>
            <w:r>
              <w:rPr>
                <w:sz w:val="20"/>
                <w:szCs w:val="20"/>
                <w:lang w:eastAsia="en-US"/>
              </w:rPr>
              <w:lastRenderedPageBreak/>
              <w:t>HPE OFFICECONNECT 1420 8G</w:t>
            </w:r>
          </w:p>
        </w:tc>
        <w:tc>
          <w:tcPr>
            <w:tcW w:w="1134" w:type="dxa"/>
            <w:tcBorders>
              <w:top w:val="single" w:sz="12" w:space="0" w:color="auto"/>
              <w:left w:val="single" w:sz="12" w:space="0" w:color="auto"/>
              <w:bottom w:val="single" w:sz="12" w:space="0" w:color="auto"/>
              <w:right w:val="single" w:sz="12" w:space="0" w:color="auto"/>
            </w:tcBorders>
          </w:tcPr>
          <w:p w14:paraId="116C8ABA" w14:textId="77777777" w:rsidR="000A5E86" w:rsidRDefault="000A5E86" w:rsidP="00F24150">
            <w:pPr>
              <w:spacing w:line="276" w:lineRule="auto"/>
              <w:jc w:val="center"/>
              <w:rPr>
                <w:b/>
                <w:sz w:val="20"/>
                <w:szCs w:val="20"/>
                <w:lang w:eastAsia="en-US"/>
              </w:rPr>
            </w:pPr>
            <w:r>
              <w:rPr>
                <w:b/>
                <w:sz w:val="20"/>
                <w:szCs w:val="20"/>
                <w:lang w:eastAsia="en-US"/>
              </w:rPr>
              <w:t>556,00</w:t>
            </w:r>
          </w:p>
        </w:tc>
        <w:tc>
          <w:tcPr>
            <w:tcW w:w="1559" w:type="dxa"/>
            <w:tcBorders>
              <w:top w:val="single" w:sz="12" w:space="0" w:color="auto"/>
              <w:left w:val="single" w:sz="12" w:space="0" w:color="auto"/>
              <w:bottom w:val="single" w:sz="12" w:space="0" w:color="auto"/>
              <w:right w:val="single" w:sz="12" w:space="0" w:color="auto"/>
            </w:tcBorders>
          </w:tcPr>
          <w:p w14:paraId="0C12CD7A" w14:textId="77777777" w:rsidR="000A5E86" w:rsidRDefault="000A5E86" w:rsidP="00F24150">
            <w:pPr>
              <w:spacing w:line="276" w:lineRule="auto"/>
              <w:jc w:val="center"/>
              <w:rPr>
                <w:b/>
                <w:sz w:val="20"/>
                <w:szCs w:val="20"/>
                <w:lang w:eastAsia="en-US"/>
              </w:rPr>
            </w:pPr>
            <w:r>
              <w:rPr>
                <w:b/>
                <w:sz w:val="20"/>
                <w:szCs w:val="20"/>
                <w:lang w:eastAsia="en-US"/>
              </w:rPr>
              <w:t>1.668,00</w:t>
            </w:r>
          </w:p>
        </w:tc>
      </w:tr>
      <w:tr w:rsidR="000A5E86" w14:paraId="10AD48C4"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hideMark/>
          </w:tcPr>
          <w:p w14:paraId="5DCD67A7" w14:textId="77777777" w:rsidR="000A5E86" w:rsidRDefault="000A5E86" w:rsidP="00F24150">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lastRenderedPageBreak/>
              <w:t>13</w:t>
            </w:r>
          </w:p>
        </w:tc>
        <w:tc>
          <w:tcPr>
            <w:tcW w:w="850" w:type="dxa"/>
            <w:tcBorders>
              <w:top w:val="single" w:sz="4" w:space="0" w:color="auto"/>
              <w:left w:val="single" w:sz="12" w:space="0" w:color="auto"/>
              <w:bottom w:val="single" w:sz="12" w:space="0" w:color="auto"/>
              <w:right w:val="single" w:sz="12" w:space="0" w:color="auto"/>
            </w:tcBorders>
            <w:hideMark/>
          </w:tcPr>
          <w:p w14:paraId="2C0E46F0"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3AC433CA"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2835" w:type="dxa"/>
            <w:tcBorders>
              <w:top w:val="single" w:sz="4" w:space="0" w:color="auto"/>
              <w:left w:val="single" w:sz="12" w:space="0" w:color="auto"/>
              <w:bottom w:val="single" w:sz="12" w:space="0" w:color="auto"/>
              <w:right w:val="single" w:sz="12" w:space="0" w:color="auto"/>
            </w:tcBorders>
            <w:hideMark/>
          </w:tcPr>
          <w:p w14:paraId="1403949E"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Estabilizador 300VA, com características mínimas:</w:t>
            </w:r>
            <w:r>
              <w:rPr>
                <w:rFonts w:eastAsia="Calibri"/>
                <w:color w:val="000000"/>
                <w:sz w:val="20"/>
                <w:szCs w:val="20"/>
                <w:lang w:eastAsia="en-US"/>
              </w:rPr>
              <w:t xml:space="preserve"> </w:t>
            </w:r>
          </w:p>
          <w:p w14:paraId="686928C5" w14:textId="77777777" w:rsidR="000A5E86" w:rsidRDefault="000A5E86" w:rsidP="00F24150">
            <w:pPr>
              <w:widowControl w:val="0"/>
              <w:autoSpaceDE w:val="0"/>
              <w:autoSpaceDN w:val="0"/>
              <w:spacing w:line="276" w:lineRule="auto"/>
              <w:ind w:right="39"/>
              <w:jc w:val="both"/>
              <w:rPr>
                <w:rFonts w:eastAsia="Tahoma"/>
                <w:b/>
                <w:bCs/>
                <w:sz w:val="20"/>
                <w:szCs w:val="20"/>
                <w:lang w:eastAsia="en-US" w:bidi="pt-BR"/>
              </w:rPr>
            </w:pPr>
            <w:r>
              <w:rPr>
                <w:rFonts w:eastAsia="Tahoma"/>
                <w:sz w:val="20"/>
                <w:szCs w:val="20"/>
                <w:lang w:eastAsia="en-US" w:bidi="pt-BR"/>
              </w:rPr>
              <w:t xml:space="preserve">Potência mínima de 300VA/W Entrada bivolt automático/Saídas 115v Fator de potência de saída 1 4 tomadas NBR 14136, com filtro de linha Função TRUE RMS Botão liga/desliga com temporizado para evitar desligamentos acidentais e/ou involuntários Proteções do estabilizador contra </w:t>
            </w:r>
            <w:proofErr w:type="gramStart"/>
            <w:r>
              <w:rPr>
                <w:rFonts w:eastAsia="Tahoma"/>
                <w:sz w:val="20"/>
                <w:szCs w:val="20"/>
                <w:lang w:eastAsia="en-US" w:bidi="pt-BR"/>
              </w:rPr>
              <w:t>sobreaquecimento, sobrecarga e curto-circuito Em</w:t>
            </w:r>
            <w:proofErr w:type="gramEnd"/>
            <w:r>
              <w:rPr>
                <w:rFonts w:eastAsia="Tahoma"/>
                <w:sz w:val="20"/>
                <w:szCs w:val="20"/>
                <w:lang w:eastAsia="en-US" w:bidi="pt-BR"/>
              </w:rPr>
              <w:t xml:space="preserve"> conformidade com a norma ISO 9001:2008. Garantia de 4 anos do próprio fabricante do equipamento, devendo ser novo, não estando fora de linha de fabricação pelos próximos 90 (noventa) dias, contados da data de abertura do certame. Deverá ser apresentada juntamente com a proposta, declaração do fabricante do equipamento comprovando tais características. Deverá ser anexado na proposta catálogo/ manual técnico do produto, e demais documentos técnicos necessários, sendo estes oficiais do fabricante ofertado, de modo que permita a comissão de licitação, comprovar pleno atendimento de todas as características técnicas do produto em conformidade com as descritas no Edital e seus Anexos. Informar marca e modelo do equipamento na </w:t>
            </w:r>
            <w:r>
              <w:rPr>
                <w:rFonts w:eastAsia="Tahoma"/>
                <w:sz w:val="20"/>
                <w:szCs w:val="20"/>
                <w:lang w:eastAsia="en-US" w:bidi="pt-BR"/>
              </w:rPr>
              <w:lastRenderedPageBreak/>
              <w:t>proposta.</w:t>
            </w:r>
          </w:p>
        </w:tc>
        <w:tc>
          <w:tcPr>
            <w:tcW w:w="1418" w:type="dxa"/>
            <w:tcBorders>
              <w:top w:val="single" w:sz="4" w:space="0" w:color="auto"/>
              <w:left w:val="single" w:sz="12" w:space="0" w:color="auto"/>
              <w:bottom w:val="single" w:sz="12" w:space="0" w:color="auto"/>
              <w:right w:val="single" w:sz="12" w:space="0" w:color="auto"/>
            </w:tcBorders>
          </w:tcPr>
          <w:p w14:paraId="254DF053" w14:textId="77777777" w:rsidR="000A5E86" w:rsidRDefault="000A5E86" w:rsidP="00F24150">
            <w:pPr>
              <w:spacing w:line="276" w:lineRule="auto"/>
              <w:jc w:val="center"/>
              <w:rPr>
                <w:sz w:val="20"/>
                <w:szCs w:val="20"/>
                <w:lang w:eastAsia="en-US"/>
              </w:rPr>
            </w:pPr>
            <w:r>
              <w:rPr>
                <w:sz w:val="20"/>
                <w:szCs w:val="20"/>
                <w:lang w:eastAsia="en-US"/>
              </w:rPr>
              <w:lastRenderedPageBreak/>
              <w:t>SMS REVOLUTION SPEEDY 300VA</w:t>
            </w:r>
          </w:p>
        </w:tc>
        <w:tc>
          <w:tcPr>
            <w:tcW w:w="1134" w:type="dxa"/>
            <w:tcBorders>
              <w:top w:val="single" w:sz="4" w:space="0" w:color="auto"/>
              <w:left w:val="single" w:sz="12" w:space="0" w:color="auto"/>
              <w:bottom w:val="single" w:sz="12" w:space="0" w:color="auto"/>
              <w:right w:val="single" w:sz="12" w:space="0" w:color="auto"/>
            </w:tcBorders>
          </w:tcPr>
          <w:p w14:paraId="3A096310" w14:textId="77777777" w:rsidR="000A5E86" w:rsidRDefault="000A5E86" w:rsidP="00F24150">
            <w:pPr>
              <w:spacing w:line="276" w:lineRule="auto"/>
              <w:jc w:val="center"/>
              <w:rPr>
                <w:b/>
                <w:sz w:val="20"/>
                <w:szCs w:val="20"/>
                <w:lang w:eastAsia="en-US"/>
              </w:rPr>
            </w:pPr>
            <w:r>
              <w:rPr>
                <w:b/>
                <w:sz w:val="20"/>
                <w:szCs w:val="20"/>
                <w:lang w:eastAsia="en-US"/>
              </w:rPr>
              <w:t>185,00</w:t>
            </w:r>
          </w:p>
        </w:tc>
        <w:tc>
          <w:tcPr>
            <w:tcW w:w="1559" w:type="dxa"/>
            <w:tcBorders>
              <w:top w:val="single" w:sz="4" w:space="0" w:color="auto"/>
              <w:left w:val="single" w:sz="12" w:space="0" w:color="auto"/>
              <w:bottom w:val="single" w:sz="12" w:space="0" w:color="auto"/>
              <w:right w:val="single" w:sz="12" w:space="0" w:color="auto"/>
            </w:tcBorders>
          </w:tcPr>
          <w:p w14:paraId="152A3E86" w14:textId="77777777" w:rsidR="000A5E86" w:rsidRDefault="000A5E86" w:rsidP="00F24150">
            <w:pPr>
              <w:spacing w:line="276" w:lineRule="auto"/>
              <w:jc w:val="center"/>
              <w:rPr>
                <w:b/>
                <w:sz w:val="20"/>
                <w:szCs w:val="20"/>
                <w:lang w:eastAsia="en-US"/>
              </w:rPr>
            </w:pPr>
            <w:r>
              <w:rPr>
                <w:b/>
                <w:sz w:val="20"/>
                <w:szCs w:val="20"/>
                <w:lang w:eastAsia="en-US"/>
              </w:rPr>
              <w:t>1.850,00</w:t>
            </w:r>
          </w:p>
        </w:tc>
      </w:tr>
      <w:tr w:rsidR="000A5E86" w14:paraId="683C46FF"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hideMark/>
          </w:tcPr>
          <w:p w14:paraId="62CD2F83" w14:textId="77777777" w:rsidR="000A5E86" w:rsidRDefault="000A5E86" w:rsidP="00F24150">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t>14</w:t>
            </w:r>
          </w:p>
        </w:tc>
        <w:tc>
          <w:tcPr>
            <w:tcW w:w="850" w:type="dxa"/>
            <w:tcBorders>
              <w:top w:val="single" w:sz="4" w:space="0" w:color="auto"/>
              <w:left w:val="single" w:sz="12" w:space="0" w:color="auto"/>
              <w:bottom w:val="single" w:sz="12" w:space="0" w:color="auto"/>
              <w:right w:val="single" w:sz="12" w:space="0" w:color="auto"/>
            </w:tcBorders>
            <w:hideMark/>
          </w:tcPr>
          <w:p w14:paraId="74A4AA26"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6C2073C8"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05</w:t>
            </w:r>
          </w:p>
        </w:tc>
        <w:tc>
          <w:tcPr>
            <w:tcW w:w="2835" w:type="dxa"/>
            <w:tcBorders>
              <w:top w:val="single" w:sz="4" w:space="0" w:color="auto"/>
              <w:left w:val="single" w:sz="12" w:space="0" w:color="auto"/>
              <w:bottom w:val="single" w:sz="12" w:space="0" w:color="auto"/>
              <w:right w:val="single" w:sz="12" w:space="0" w:color="auto"/>
            </w:tcBorders>
            <w:hideMark/>
          </w:tcPr>
          <w:p w14:paraId="3406A2CA"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ESTABILIZADOR 1000VA, COM AS SEGUINTES CARACTERÍSTICAS MÍNIMAS:</w:t>
            </w:r>
          </w:p>
          <w:p w14:paraId="7D9FDED8"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eastAsia="en-US"/>
              </w:rPr>
              <w:t xml:space="preserve">Potência mínima de 1000VA/W, entrada bivolt automático/saídas 115v, com filtro de linha e 5 tomadas de 10A novo padrão NBR 14136. Microprocessador RISC/FLASH de alta velocidade com 8 estágios de regulação. Fusível </w:t>
            </w:r>
            <w:proofErr w:type="spellStart"/>
            <w:r>
              <w:rPr>
                <w:rFonts w:eastAsia="Calibri"/>
                <w:color w:val="000000"/>
                <w:sz w:val="20"/>
                <w:szCs w:val="20"/>
                <w:lang w:eastAsia="en-US"/>
              </w:rPr>
              <w:t>rearmável</w:t>
            </w:r>
            <w:proofErr w:type="spellEnd"/>
            <w:r>
              <w:rPr>
                <w:rFonts w:eastAsia="Calibri"/>
                <w:color w:val="000000"/>
                <w:sz w:val="20"/>
                <w:szCs w:val="20"/>
                <w:lang w:eastAsia="en-US"/>
              </w:rPr>
              <w:t xml:space="preserve">. Tecnologia </w:t>
            </w:r>
            <w:proofErr w:type="spellStart"/>
            <w:r>
              <w:rPr>
                <w:rFonts w:eastAsia="Calibri"/>
                <w:color w:val="000000"/>
                <w:sz w:val="20"/>
                <w:szCs w:val="20"/>
                <w:lang w:eastAsia="en-US"/>
              </w:rPr>
              <w:t>True</w:t>
            </w:r>
            <w:proofErr w:type="spellEnd"/>
            <w:r>
              <w:rPr>
                <w:rFonts w:eastAsia="Calibri"/>
                <w:color w:val="000000"/>
                <w:sz w:val="20"/>
                <w:szCs w:val="20"/>
                <w:lang w:eastAsia="en-US"/>
              </w:rPr>
              <w:t xml:space="preserve"> RMS embarcado. Chave liga/desliga embutida para acionamento ou </w:t>
            </w:r>
            <w:proofErr w:type="spellStart"/>
            <w:r>
              <w:rPr>
                <w:rFonts w:eastAsia="Calibri"/>
                <w:color w:val="000000"/>
                <w:sz w:val="20"/>
                <w:szCs w:val="20"/>
                <w:lang w:eastAsia="en-US"/>
              </w:rPr>
              <w:t>desacionamento</w:t>
            </w:r>
            <w:proofErr w:type="spellEnd"/>
            <w:r>
              <w:rPr>
                <w:rFonts w:eastAsia="Calibri"/>
                <w:color w:val="000000"/>
                <w:sz w:val="20"/>
                <w:szCs w:val="20"/>
                <w:lang w:eastAsia="en-US"/>
              </w:rPr>
              <w:t xml:space="preserve"> acidental. Rendimento com carga nominal de 93%, com grau de proteção IP20. Proteções para carga contra curto-circuito, surtos de tensão entre fase e neutro, sub/</w:t>
            </w:r>
            <w:proofErr w:type="spellStart"/>
            <w:r>
              <w:rPr>
                <w:rFonts w:eastAsia="Calibri"/>
                <w:color w:val="000000"/>
                <w:sz w:val="20"/>
                <w:szCs w:val="20"/>
                <w:lang w:eastAsia="en-US"/>
              </w:rPr>
              <w:t>sobretensão</w:t>
            </w:r>
            <w:proofErr w:type="spellEnd"/>
            <w:r>
              <w:rPr>
                <w:rFonts w:eastAsia="Calibri"/>
                <w:color w:val="000000"/>
                <w:sz w:val="20"/>
                <w:szCs w:val="20"/>
                <w:lang w:eastAsia="en-US"/>
              </w:rPr>
              <w:t xml:space="preserve"> de rede elétrica com desligamento e rearme automático, sobreaquecimento com desligamento e rearme automático e sobrecarga com desligamento automático. Em conformidade com a norma ISO 9001:2008. Garantia de 4 anos do próprio fabricante do equipamento, devendo ser novo, não estando fora de linha de fabricação pelos próximos 90 (noventa) dias, contados da data de abertura do certame. Deverá ser apresentada juntamente com a proposta, declaração do fabricante do equipamento comprovando tais características. Deverá ser anexado na proposta catálogo/ manual técnico do produto, e demais documentos técnicos necessários, sendo estes oficiais do fabricante ofertado, de modo que permita a comissão de </w:t>
            </w:r>
            <w:r>
              <w:rPr>
                <w:rFonts w:eastAsia="Calibri"/>
                <w:color w:val="000000"/>
                <w:sz w:val="20"/>
                <w:szCs w:val="20"/>
                <w:lang w:eastAsia="en-US"/>
              </w:rPr>
              <w:lastRenderedPageBreak/>
              <w:t>licitação, comprovar pleno atendimento de todas as características técnicas do produto em conformidade com as descritas no Edital e seus Anexos. Informar marca e modelo do equipamento na proposta.</w:t>
            </w:r>
          </w:p>
        </w:tc>
        <w:tc>
          <w:tcPr>
            <w:tcW w:w="1418" w:type="dxa"/>
            <w:tcBorders>
              <w:top w:val="single" w:sz="4" w:space="0" w:color="auto"/>
              <w:left w:val="single" w:sz="12" w:space="0" w:color="auto"/>
              <w:bottom w:val="single" w:sz="12" w:space="0" w:color="auto"/>
              <w:right w:val="single" w:sz="12" w:space="0" w:color="auto"/>
            </w:tcBorders>
          </w:tcPr>
          <w:p w14:paraId="7934FEE6" w14:textId="77777777" w:rsidR="000A5E86" w:rsidRDefault="000A5E86" w:rsidP="00F24150">
            <w:pPr>
              <w:spacing w:line="276" w:lineRule="auto"/>
              <w:jc w:val="center"/>
              <w:rPr>
                <w:sz w:val="20"/>
                <w:szCs w:val="20"/>
                <w:lang w:eastAsia="en-US"/>
              </w:rPr>
            </w:pPr>
            <w:r>
              <w:rPr>
                <w:sz w:val="20"/>
                <w:szCs w:val="20"/>
                <w:lang w:eastAsia="en-US"/>
              </w:rPr>
              <w:lastRenderedPageBreak/>
              <w:t>SMS PROGRESSIVE III1000VA</w:t>
            </w:r>
          </w:p>
        </w:tc>
        <w:tc>
          <w:tcPr>
            <w:tcW w:w="1134" w:type="dxa"/>
            <w:tcBorders>
              <w:top w:val="single" w:sz="4" w:space="0" w:color="auto"/>
              <w:left w:val="single" w:sz="12" w:space="0" w:color="auto"/>
              <w:bottom w:val="single" w:sz="12" w:space="0" w:color="auto"/>
              <w:right w:val="single" w:sz="12" w:space="0" w:color="auto"/>
            </w:tcBorders>
          </w:tcPr>
          <w:p w14:paraId="0123B645" w14:textId="77777777" w:rsidR="000A5E86" w:rsidRDefault="000A5E86" w:rsidP="00F24150">
            <w:pPr>
              <w:spacing w:line="276" w:lineRule="auto"/>
              <w:jc w:val="center"/>
              <w:rPr>
                <w:b/>
                <w:sz w:val="20"/>
                <w:szCs w:val="20"/>
                <w:lang w:eastAsia="en-US"/>
              </w:rPr>
            </w:pPr>
            <w:r>
              <w:rPr>
                <w:b/>
                <w:sz w:val="20"/>
                <w:szCs w:val="20"/>
                <w:lang w:eastAsia="en-US"/>
              </w:rPr>
              <w:t>527,00</w:t>
            </w:r>
          </w:p>
        </w:tc>
        <w:tc>
          <w:tcPr>
            <w:tcW w:w="1559" w:type="dxa"/>
            <w:tcBorders>
              <w:top w:val="single" w:sz="4" w:space="0" w:color="auto"/>
              <w:left w:val="single" w:sz="12" w:space="0" w:color="auto"/>
              <w:bottom w:val="single" w:sz="12" w:space="0" w:color="auto"/>
              <w:right w:val="single" w:sz="12" w:space="0" w:color="auto"/>
            </w:tcBorders>
          </w:tcPr>
          <w:p w14:paraId="52141A28" w14:textId="77777777" w:rsidR="000A5E86" w:rsidRDefault="000A5E86" w:rsidP="00F24150">
            <w:pPr>
              <w:spacing w:line="276" w:lineRule="auto"/>
              <w:jc w:val="center"/>
              <w:rPr>
                <w:b/>
                <w:sz w:val="20"/>
                <w:szCs w:val="20"/>
                <w:lang w:eastAsia="en-US"/>
              </w:rPr>
            </w:pPr>
            <w:r>
              <w:rPr>
                <w:b/>
                <w:sz w:val="20"/>
                <w:szCs w:val="20"/>
                <w:lang w:eastAsia="en-US"/>
              </w:rPr>
              <w:t>2.635,00</w:t>
            </w:r>
          </w:p>
        </w:tc>
      </w:tr>
      <w:tr w:rsidR="000A5E86" w14:paraId="613B5CDC"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hideMark/>
          </w:tcPr>
          <w:p w14:paraId="6B7CA177" w14:textId="77777777" w:rsidR="000A5E86" w:rsidRDefault="000A5E86" w:rsidP="00F24150">
            <w:pPr>
              <w:spacing w:line="276" w:lineRule="auto"/>
              <w:jc w:val="both"/>
              <w:textAlignment w:val="center"/>
              <w:rPr>
                <w:sz w:val="20"/>
                <w:szCs w:val="20"/>
                <w:lang w:eastAsia="en-US"/>
              </w:rPr>
            </w:pPr>
            <w:r>
              <w:rPr>
                <w:sz w:val="20"/>
                <w:szCs w:val="20"/>
                <w:lang w:eastAsia="en-US"/>
              </w:rPr>
              <w:t>16</w:t>
            </w:r>
          </w:p>
        </w:tc>
        <w:tc>
          <w:tcPr>
            <w:tcW w:w="850" w:type="dxa"/>
            <w:tcBorders>
              <w:top w:val="single" w:sz="4" w:space="0" w:color="auto"/>
              <w:left w:val="single" w:sz="12" w:space="0" w:color="auto"/>
              <w:bottom w:val="single" w:sz="12" w:space="0" w:color="auto"/>
              <w:right w:val="single" w:sz="12" w:space="0" w:color="auto"/>
            </w:tcBorders>
            <w:hideMark/>
          </w:tcPr>
          <w:p w14:paraId="274B4399"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0D6D17AE"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20</w:t>
            </w:r>
          </w:p>
        </w:tc>
        <w:tc>
          <w:tcPr>
            <w:tcW w:w="2835" w:type="dxa"/>
            <w:tcBorders>
              <w:top w:val="single" w:sz="4" w:space="0" w:color="auto"/>
              <w:left w:val="single" w:sz="12" w:space="0" w:color="auto"/>
              <w:bottom w:val="single" w:sz="12" w:space="0" w:color="auto"/>
              <w:right w:val="single" w:sz="12" w:space="0" w:color="auto"/>
            </w:tcBorders>
          </w:tcPr>
          <w:p w14:paraId="2D32328C"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 xml:space="preserve">DESKTOP CORPORATIVO MINI </w:t>
            </w:r>
            <w:r>
              <w:rPr>
                <w:rFonts w:eastAsia="Calibri"/>
                <w:b/>
                <w:bCs/>
                <w:i/>
                <w:iCs/>
                <w:color w:val="000000"/>
                <w:sz w:val="20"/>
                <w:szCs w:val="20"/>
                <w:u w:val="single"/>
                <w:lang w:eastAsia="en-US"/>
              </w:rPr>
              <w:t>SEM MONITOR</w:t>
            </w:r>
            <w:r>
              <w:rPr>
                <w:rFonts w:eastAsia="Calibri"/>
                <w:b/>
                <w:bCs/>
                <w:color w:val="000000"/>
                <w:sz w:val="20"/>
                <w:szCs w:val="20"/>
                <w:lang w:eastAsia="en-US"/>
              </w:rPr>
              <w:t xml:space="preserve"> COM AS SEGUINTES CARACTERÍSTICAS MÍNIMAS:</w:t>
            </w:r>
          </w:p>
          <w:p w14:paraId="79C9F182"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Os equipamentos devem pertencer à linha corporativa, serem novos, sem uso e estar em linha de produção, apresentar declaração do fabricante juntamente com a proposta, com validade não inferior a 30 dias.</w:t>
            </w:r>
          </w:p>
          <w:p w14:paraId="53430176"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Processador</w:t>
            </w:r>
            <w:r>
              <w:rPr>
                <w:rFonts w:eastAsia="Calibri"/>
                <w:color w:val="000000"/>
                <w:sz w:val="20"/>
                <w:szCs w:val="20"/>
                <w:lang w:eastAsia="en-US"/>
              </w:rPr>
              <w:t xml:space="preserve"> 4 núcleos físicos e 8 </w:t>
            </w:r>
            <w:proofErr w:type="spellStart"/>
            <w:r>
              <w:rPr>
                <w:rFonts w:eastAsia="Calibri"/>
                <w:color w:val="000000"/>
                <w:sz w:val="20"/>
                <w:szCs w:val="20"/>
                <w:lang w:eastAsia="en-US"/>
              </w:rPr>
              <w:t>theads</w:t>
            </w:r>
            <w:proofErr w:type="spellEnd"/>
            <w:r>
              <w:rPr>
                <w:rFonts w:eastAsia="Calibri"/>
                <w:color w:val="000000"/>
                <w:sz w:val="20"/>
                <w:szCs w:val="20"/>
                <w:lang w:eastAsia="en-US"/>
              </w:rPr>
              <w:t xml:space="preserve">, com características e desempenho equivalente ou superior ao índice de 10.000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 devendo ser da geração mais recente disponibilizada pelo fabricante do computador.</w:t>
            </w:r>
          </w:p>
          <w:p w14:paraId="4C9BE1CF"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Memória</w:t>
            </w:r>
            <w:r>
              <w:rPr>
                <w:rFonts w:eastAsia="Calibri"/>
                <w:color w:val="000000"/>
                <w:sz w:val="20"/>
                <w:szCs w:val="20"/>
                <w:lang w:eastAsia="en-US"/>
              </w:rPr>
              <w:t xml:space="preserve"> 8GB de memória DDR4 instalada, operando a 2.666Mhz.</w:t>
            </w:r>
          </w:p>
          <w:p w14:paraId="1332A927"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M.2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256 GB, do 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199006AD"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fabricante do equipamento, desenvolvida especificamente para o modelo ofertado, não sendo aceitas </w:t>
            </w:r>
            <w:r>
              <w:rPr>
                <w:rFonts w:eastAsia="Calibri"/>
                <w:color w:val="000000"/>
                <w:sz w:val="20"/>
                <w:szCs w:val="20"/>
                <w:lang w:eastAsia="en-US"/>
              </w:rPr>
              <w:lastRenderedPageBreak/>
              <w:t>soluções em regime de OEM ou customizadas. BIOS com direitos de copyright, em português, em conformidade com as especificações UEFI 2.1 ou superior, na categoria promoters. Deverá possuir 1 (um) slots para expansão de placas do tipo M.2 e 2 (dois) para memória, suportando upgrade para 64GB. Deverá possuir 6 (seis) interfaces USB nativas, sendo 2 (duas) tipo A 10Gbps e 1 (uma) Tipo C 10Gbps na parte frontal do gabinete, ao menos uma energizada com suporte a carga de 5v, não será aceito o uso de adaptadores para atender esta exigência. Deverá possuir chip de segurança integrada a placa mãe do tipo TPM 2.0 para criptografia de dados. Deverá possuir saídas de vídeo, sendo 1 (um) do tipo VGA e 2 (duas) do tipo HDMI ou Display Port. Deverá possuir conectividade, cabeada no padrão gigabit, sem fio no padrão Wi-Fi 6 802.11ax 2x2 e Bluetooth 5.0, ambos integrados a placa mãe internamente ao gabinete. Deverá possuir interface de áudio integrado e sistema de detecção de intrusão de chassis nativo.</w:t>
            </w:r>
          </w:p>
          <w:p w14:paraId="455CD597"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Gabinete tipo mini</w:t>
            </w:r>
            <w:r>
              <w:rPr>
                <w:rFonts w:eastAsia="Calibri"/>
                <w:color w:val="000000"/>
                <w:sz w:val="20"/>
                <w:szCs w:val="20"/>
                <w:lang w:eastAsia="en-US"/>
              </w:rPr>
              <w:t xml:space="preserve"> PC com volume não superior a 1.2l. Deverá possuir nativamente tecnologia tool-</w:t>
            </w:r>
            <w:proofErr w:type="spellStart"/>
            <w:r>
              <w:rPr>
                <w:rFonts w:eastAsia="Calibri"/>
                <w:color w:val="000000"/>
                <w:sz w:val="20"/>
                <w:szCs w:val="20"/>
                <w:lang w:eastAsia="en-US"/>
              </w:rPr>
              <w:t>less</w:t>
            </w:r>
            <w:proofErr w:type="spellEnd"/>
            <w:r>
              <w:rPr>
                <w:rFonts w:eastAsia="Calibri"/>
                <w:color w:val="000000"/>
                <w:sz w:val="20"/>
                <w:szCs w:val="20"/>
                <w:lang w:eastAsia="en-US"/>
              </w:rPr>
              <w:t xml:space="preserve"> para abertura do equipamento, remoção de memórias e unidade de armazenamento (HDs, </w:t>
            </w:r>
            <w:proofErr w:type="spellStart"/>
            <w:r>
              <w:rPr>
                <w:rFonts w:eastAsia="Calibri"/>
                <w:color w:val="000000"/>
                <w:sz w:val="20"/>
                <w:szCs w:val="20"/>
                <w:lang w:eastAsia="en-US"/>
              </w:rPr>
              <w:t>SSDs</w:t>
            </w:r>
            <w:proofErr w:type="spellEnd"/>
            <w:r>
              <w:rPr>
                <w:rFonts w:eastAsia="Calibri"/>
                <w:color w:val="000000"/>
                <w:sz w:val="20"/>
                <w:szCs w:val="20"/>
                <w:lang w:eastAsia="en-US"/>
              </w:rPr>
              <w:t xml:space="preserve"> ou </w:t>
            </w:r>
            <w:proofErr w:type="spellStart"/>
            <w:r>
              <w:rPr>
                <w:rFonts w:eastAsia="Calibri"/>
                <w:color w:val="000000"/>
                <w:sz w:val="20"/>
                <w:szCs w:val="20"/>
                <w:lang w:eastAsia="en-US"/>
              </w:rPr>
              <w:t>Drivecages</w:t>
            </w:r>
            <w:proofErr w:type="spellEnd"/>
            <w:r>
              <w:rPr>
                <w:rFonts w:eastAsia="Calibri"/>
                <w:color w:val="000000"/>
                <w:sz w:val="20"/>
                <w:szCs w:val="20"/>
                <w:lang w:eastAsia="en-US"/>
              </w:rPr>
              <w:t xml:space="preserve">). Conectores de áudio frontais para headphone e microfone sendo aceita interface tipo combo e alto-falante de 1,5W integrado internamente ao </w:t>
            </w:r>
            <w:r>
              <w:rPr>
                <w:rFonts w:eastAsia="Calibri"/>
                <w:color w:val="000000"/>
                <w:sz w:val="20"/>
                <w:szCs w:val="20"/>
                <w:lang w:eastAsia="en-US"/>
              </w:rPr>
              <w:lastRenderedPageBreak/>
              <w:t>gabinete.</w:t>
            </w:r>
          </w:p>
          <w:p w14:paraId="157AEB48"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Fonte de Alimentação</w:t>
            </w:r>
            <w:r>
              <w:rPr>
                <w:rFonts w:eastAsia="Calibri"/>
                <w:color w:val="000000"/>
                <w:sz w:val="20"/>
                <w:szCs w:val="20"/>
                <w:lang w:eastAsia="en-US"/>
              </w:rPr>
              <w:t xml:space="preserve"> com tensão de entrada automática, do tipo externa com potência de 65W e eficiência energética comprovada de 87%.</w:t>
            </w:r>
          </w:p>
          <w:p w14:paraId="27A0F270"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Teclado padrão ABNT-2 e Mouse laser ou óptico 1000dpi, com conectores USB, da mesma marca e fabricante do computador. Não serão aceitas soluções em regime de OEM.</w:t>
            </w:r>
          </w:p>
          <w:p w14:paraId="64817EE3"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Sistema operacional instalado para Microsoft Windows 10 Professional 64 bits ou superior</w:t>
            </w:r>
            <w:r>
              <w:rPr>
                <w:rFonts w:eastAsia="Calibri"/>
                <w:color w:val="000000"/>
                <w:sz w:val="20"/>
                <w:szCs w:val="20"/>
                <w:lang w:eastAsia="en-US"/>
              </w:rPr>
              <w:t>, licenciado com ativação através da BIOS do computador.</w:t>
            </w:r>
          </w:p>
          <w:p w14:paraId="56EDC040" w14:textId="77777777" w:rsidR="000A5E86" w:rsidRDefault="000A5E86" w:rsidP="00F24150">
            <w:pPr>
              <w:autoSpaceDE w:val="0"/>
              <w:autoSpaceDN w:val="0"/>
              <w:adjustRightInd w:val="0"/>
              <w:spacing w:line="276" w:lineRule="auto"/>
              <w:jc w:val="both"/>
              <w:rPr>
                <w:rFonts w:eastAsia="Calibri"/>
                <w:color w:val="000000"/>
                <w:sz w:val="20"/>
                <w:szCs w:val="20"/>
                <w:lang w:val="pt-PT" w:eastAsia="en-US"/>
              </w:rPr>
            </w:pPr>
            <w:r>
              <w:rPr>
                <w:rFonts w:eastAsia="Calibri"/>
                <w:b/>
                <w:bCs/>
                <w:color w:val="000000"/>
                <w:sz w:val="20"/>
                <w:szCs w:val="20"/>
                <w:lang w:val="pt-PT" w:eastAsia="en-US"/>
              </w:rPr>
              <w:t>Garantia</w:t>
            </w:r>
            <w:r>
              <w:rPr>
                <w:rFonts w:eastAsia="Calibri"/>
                <w:color w:val="000000"/>
                <w:sz w:val="20"/>
                <w:szCs w:val="20"/>
                <w:lang w:val="pt-PT" w:eastAsia="en-US"/>
              </w:rPr>
              <w:t xml:space="preserve">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declaração do fabricante </w:t>
            </w:r>
            <w:r>
              <w:rPr>
                <w:rFonts w:eastAsia="Calibri"/>
                <w:color w:val="000000"/>
                <w:sz w:val="20"/>
                <w:szCs w:val="20"/>
                <w:lang w:val="pt-PT" w:eastAsia="en-US"/>
              </w:rPr>
              <w:lastRenderedPageBreak/>
              <w:t>juntamente com a proposta. O Fabricante do computador deverá possuir site na internet para downloads de drivers e dos softwares originais instalados na fábrica, bem como para verificação status de garantia vigente.</w:t>
            </w:r>
          </w:p>
          <w:p w14:paraId="79F545C4" w14:textId="77777777" w:rsidR="000A5E86" w:rsidRDefault="000A5E86" w:rsidP="00F24150">
            <w:pPr>
              <w:autoSpaceDE w:val="0"/>
              <w:autoSpaceDN w:val="0"/>
              <w:adjustRightInd w:val="0"/>
              <w:spacing w:line="276" w:lineRule="auto"/>
              <w:jc w:val="both"/>
              <w:rPr>
                <w:rFonts w:eastAsia="Calibri"/>
                <w:color w:val="000000"/>
                <w:sz w:val="20"/>
                <w:szCs w:val="20"/>
                <w:lang w:val="pt-PT" w:eastAsia="en-US"/>
              </w:rPr>
            </w:pPr>
            <w:r>
              <w:rPr>
                <w:rFonts w:eastAsia="Calibri"/>
                <w:color w:val="000000"/>
                <w:sz w:val="20"/>
                <w:szCs w:val="20"/>
                <w:lang w:val="pt-PT" w:eastAsia="en-US"/>
              </w:rPr>
              <w:t>O computador ofertado deverá estar enquadrado ou de acordo com as diretivas RoHS, ENERGY STAR, EPEAT Gold, DMTF Board ou CIM e ser compatível com sistemas operacionais Windows, comprovado através da certificação HCL do respectivo desenvolvedor.</w:t>
            </w:r>
          </w:p>
          <w:p w14:paraId="51826D55"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val="pt-PT" w:eastAsia="en-US"/>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p w14:paraId="13A93CE9" w14:textId="77777777" w:rsidR="000A5E86" w:rsidRDefault="000A5E86" w:rsidP="00F24150">
            <w:pPr>
              <w:widowControl w:val="0"/>
              <w:autoSpaceDE w:val="0"/>
              <w:autoSpaceDN w:val="0"/>
              <w:spacing w:line="276" w:lineRule="auto"/>
              <w:ind w:left="66" w:right="40"/>
              <w:jc w:val="both"/>
              <w:rPr>
                <w:rFonts w:eastAsia="Tahoma"/>
                <w:b/>
                <w:bCs/>
                <w:sz w:val="20"/>
                <w:szCs w:val="20"/>
                <w:lang w:eastAsia="en-US" w:bidi="pt-BR"/>
              </w:rPr>
            </w:pPr>
          </w:p>
        </w:tc>
        <w:tc>
          <w:tcPr>
            <w:tcW w:w="1418" w:type="dxa"/>
            <w:tcBorders>
              <w:top w:val="single" w:sz="4" w:space="0" w:color="auto"/>
              <w:left w:val="single" w:sz="12" w:space="0" w:color="auto"/>
              <w:bottom w:val="single" w:sz="12" w:space="0" w:color="auto"/>
              <w:right w:val="single" w:sz="12" w:space="0" w:color="auto"/>
            </w:tcBorders>
          </w:tcPr>
          <w:p w14:paraId="5E9260C1" w14:textId="77777777" w:rsidR="000A5E86" w:rsidRDefault="000A5E86" w:rsidP="00F24150">
            <w:pPr>
              <w:spacing w:line="276" w:lineRule="auto"/>
              <w:jc w:val="center"/>
              <w:rPr>
                <w:sz w:val="20"/>
                <w:szCs w:val="20"/>
                <w:lang w:eastAsia="en-US"/>
              </w:rPr>
            </w:pPr>
            <w:r>
              <w:rPr>
                <w:sz w:val="20"/>
                <w:szCs w:val="20"/>
                <w:lang w:eastAsia="en-US"/>
              </w:rPr>
              <w:lastRenderedPageBreak/>
              <w:t>HP PRODESK 405 G6 DM</w:t>
            </w:r>
          </w:p>
        </w:tc>
        <w:tc>
          <w:tcPr>
            <w:tcW w:w="1134" w:type="dxa"/>
            <w:tcBorders>
              <w:top w:val="single" w:sz="4" w:space="0" w:color="auto"/>
              <w:left w:val="single" w:sz="12" w:space="0" w:color="auto"/>
              <w:bottom w:val="single" w:sz="12" w:space="0" w:color="auto"/>
              <w:right w:val="single" w:sz="12" w:space="0" w:color="auto"/>
            </w:tcBorders>
          </w:tcPr>
          <w:p w14:paraId="3096A91A" w14:textId="77777777" w:rsidR="000A5E86" w:rsidRDefault="000A5E86" w:rsidP="00F24150">
            <w:pPr>
              <w:spacing w:line="276" w:lineRule="auto"/>
              <w:jc w:val="center"/>
              <w:rPr>
                <w:b/>
                <w:sz w:val="20"/>
                <w:szCs w:val="20"/>
                <w:lang w:eastAsia="en-US"/>
              </w:rPr>
            </w:pPr>
            <w:r>
              <w:rPr>
                <w:b/>
                <w:sz w:val="20"/>
                <w:szCs w:val="20"/>
                <w:lang w:eastAsia="en-US"/>
              </w:rPr>
              <w:t>4.436,00</w:t>
            </w:r>
          </w:p>
        </w:tc>
        <w:tc>
          <w:tcPr>
            <w:tcW w:w="1559" w:type="dxa"/>
            <w:tcBorders>
              <w:top w:val="single" w:sz="4" w:space="0" w:color="auto"/>
              <w:left w:val="single" w:sz="12" w:space="0" w:color="auto"/>
              <w:bottom w:val="single" w:sz="12" w:space="0" w:color="auto"/>
              <w:right w:val="single" w:sz="12" w:space="0" w:color="auto"/>
            </w:tcBorders>
          </w:tcPr>
          <w:p w14:paraId="1EE20DE2" w14:textId="77777777" w:rsidR="000A5E86" w:rsidRDefault="000A5E86" w:rsidP="00F24150">
            <w:pPr>
              <w:spacing w:line="276" w:lineRule="auto"/>
              <w:jc w:val="center"/>
              <w:rPr>
                <w:b/>
                <w:sz w:val="20"/>
                <w:szCs w:val="20"/>
                <w:lang w:eastAsia="en-US"/>
              </w:rPr>
            </w:pPr>
            <w:r>
              <w:rPr>
                <w:b/>
                <w:sz w:val="20"/>
                <w:szCs w:val="20"/>
                <w:lang w:eastAsia="en-US"/>
              </w:rPr>
              <w:t>88.720,00</w:t>
            </w:r>
          </w:p>
        </w:tc>
      </w:tr>
      <w:tr w:rsidR="000A5E86" w14:paraId="788D5FEF"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hideMark/>
          </w:tcPr>
          <w:p w14:paraId="3D6641E2" w14:textId="77777777" w:rsidR="000A5E86" w:rsidRDefault="000A5E86" w:rsidP="00F24150">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lastRenderedPageBreak/>
              <w:t>17</w:t>
            </w:r>
          </w:p>
        </w:tc>
        <w:tc>
          <w:tcPr>
            <w:tcW w:w="850" w:type="dxa"/>
            <w:tcBorders>
              <w:top w:val="single" w:sz="4" w:space="0" w:color="auto"/>
              <w:left w:val="single" w:sz="12" w:space="0" w:color="auto"/>
              <w:bottom w:val="single" w:sz="12" w:space="0" w:color="auto"/>
              <w:right w:val="single" w:sz="12" w:space="0" w:color="auto"/>
            </w:tcBorders>
            <w:hideMark/>
          </w:tcPr>
          <w:p w14:paraId="16FA4C67"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1B51C1F8"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20</w:t>
            </w:r>
          </w:p>
        </w:tc>
        <w:tc>
          <w:tcPr>
            <w:tcW w:w="2835" w:type="dxa"/>
            <w:tcBorders>
              <w:top w:val="single" w:sz="4" w:space="0" w:color="auto"/>
              <w:left w:val="single" w:sz="12" w:space="0" w:color="auto"/>
              <w:bottom w:val="single" w:sz="12" w:space="0" w:color="auto"/>
              <w:right w:val="single" w:sz="12" w:space="0" w:color="auto"/>
            </w:tcBorders>
            <w:hideMark/>
          </w:tcPr>
          <w:p w14:paraId="2A8B0390"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 xml:space="preserve">DESKTOP CORPORATIVO MINI </w:t>
            </w:r>
            <w:r>
              <w:rPr>
                <w:rFonts w:eastAsia="Calibri"/>
                <w:b/>
                <w:bCs/>
                <w:i/>
                <w:iCs/>
                <w:color w:val="000000"/>
                <w:sz w:val="20"/>
                <w:szCs w:val="20"/>
                <w:u w:val="single"/>
                <w:lang w:eastAsia="en-US"/>
              </w:rPr>
              <w:t>COM MONITOR</w:t>
            </w:r>
            <w:r>
              <w:rPr>
                <w:rFonts w:eastAsia="Calibri"/>
                <w:b/>
                <w:bCs/>
                <w:color w:val="000000"/>
                <w:sz w:val="20"/>
                <w:szCs w:val="20"/>
                <w:lang w:eastAsia="en-US"/>
              </w:rPr>
              <w:t xml:space="preserve"> COM AS SEGUINTES CARACTERÍSTICAS MÍNIMAS:</w:t>
            </w:r>
          </w:p>
          <w:p w14:paraId="32147531"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lastRenderedPageBreak/>
              <w:t>Os equipamentos devem pertencer à linha corporativa, serem novos, sem uso e estar em linha de produção, apresentar declaração do fabricante juntamente com a proposta, com validade não inferior a 30 dias.</w:t>
            </w:r>
          </w:p>
          <w:p w14:paraId="55E0B663"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Processador</w:t>
            </w:r>
            <w:r>
              <w:rPr>
                <w:rFonts w:eastAsia="Calibri"/>
                <w:color w:val="000000"/>
                <w:sz w:val="20"/>
                <w:szCs w:val="20"/>
                <w:lang w:eastAsia="en-US"/>
              </w:rPr>
              <w:t xml:space="preserve"> 4 núcleos físicos e 8 </w:t>
            </w:r>
            <w:proofErr w:type="spellStart"/>
            <w:r>
              <w:rPr>
                <w:rFonts w:eastAsia="Calibri"/>
                <w:color w:val="000000"/>
                <w:sz w:val="20"/>
                <w:szCs w:val="20"/>
                <w:lang w:eastAsia="en-US"/>
              </w:rPr>
              <w:t>theads</w:t>
            </w:r>
            <w:proofErr w:type="spellEnd"/>
            <w:r>
              <w:rPr>
                <w:rFonts w:eastAsia="Calibri"/>
                <w:color w:val="000000"/>
                <w:sz w:val="20"/>
                <w:szCs w:val="20"/>
                <w:lang w:eastAsia="en-US"/>
              </w:rPr>
              <w:t xml:space="preserve">, com características e desempenho equivalente ou superior ao índice de 10.000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 devendo ser da geração mais recente disponibilizada pelo fabricante do computador.</w:t>
            </w:r>
          </w:p>
          <w:p w14:paraId="28C1C8C9"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Memória</w:t>
            </w:r>
            <w:r>
              <w:rPr>
                <w:rFonts w:eastAsia="Calibri"/>
                <w:color w:val="000000"/>
                <w:sz w:val="20"/>
                <w:szCs w:val="20"/>
                <w:lang w:eastAsia="en-US"/>
              </w:rPr>
              <w:t xml:space="preserve"> 8GB de memória DDR4 instalada, operando a 2.666Mhz.</w:t>
            </w:r>
          </w:p>
          <w:p w14:paraId="2D40922D"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M.2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256 GB, do 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213482F2"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fabricante do equipamento, desenvolvida especificamente para o modelo ofertado, não sendo aceitas soluções em regime de OEM ou customizadas. BIOS com direitos de copyright, em português, em conformidade com as especificações UEFI 2.1 ou superior, na categoria promoters. Deverá possuir 1 (um) slots para expansão de placas do tipo M.2 e 2 (dois) para memória, suportando upgrade para 64GB. Deverá possuir 6 (seis) interfaces USB nativas, sendo 2 (duas) tipo A 10Gbps e 1 (uma) Tipo C </w:t>
            </w:r>
            <w:r>
              <w:rPr>
                <w:rFonts w:eastAsia="Calibri"/>
                <w:color w:val="000000"/>
                <w:sz w:val="20"/>
                <w:szCs w:val="20"/>
                <w:lang w:eastAsia="en-US"/>
              </w:rPr>
              <w:lastRenderedPageBreak/>
              <w:t>10Gbps na parte frontal do gabinete, ao menos uma energizada com suporte a carga de 5v, não será aceito o uso de adaptadores para atender esta exigência. Deverá possuir chip de segurança integrada a placa mãe do tipo TPM 2.0 para criptografia de dados. Deverá possuir saídas de vídeo, sendo 1 (um) do tipo VGA e 2 (duas) do tipo HDMI ou Display Port. Deverá possuir conectividade, cabeada no padrão gigabit, sem fio no padrão Wi-Fi 6 802.11ax 2x2 e Bluetooth 5.0, ambos integrados a placa mãe internamente ao gabinete. Deverá possuir interface de áudio integrado e sistema de detecção de intrusão de chassis nativo.</w:t>
            </w:r>
          </w:p>
          <w:p w14:paraId="76903309"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Gabinete tipo mini</w:t>
            </w:r>
            <w:r>
              <w:rPr>
                <w:rFonts w:eastAsia="Calibri"/>
                <w:color w:val="000000"/>
                <w:sz w:val="20"/>
                <w:szCs w:val="20"/>
                <w:lang w:eastAsia="en-US"/>
              </w:rPr>
              <w:t xml:space="preserve"> PC com volume não superior a 1.2l. Deverá possuir nativamente tecnologia tool-</w:t>
            </w:r>
            <w:proofErr w:type="spellStart"/>
            <w:r>
              <w:rPr>
                <w:rFonts w:eastAsia="Calibri"/>
                <w:color w:val="000000"/>
                <w:sz w:val="20"/>
                <w:szCs w:val="20"/>
                <w:lang w:eastAsia="en-US"/>
              </w:rPr>
              <w:t>less</w:t>
            </w:r>
            <w:proofErr w:type="spellEnd"/>
            <w:r>
              <w:rPr>
                <w:rFonts w:eastAsia="Calibri"/>
                <w:color w:val="000000"/>
                <w:sz w:val="20"/>
                <w:szCs w:val="20"/>
                <w:lang w:eastAsia="en-US"/>
              </w:rPr>
              <w:t xml:space="preserve"> para abertura do equipamento, remoção de memórias e unidade de armazenamento (HDs, </w:t>
            </w:r>
            <w:proofErr w:type="spellStart"/>
            <w:r>
              <w:rPr>
                <w:rFonts w:eastAsia="Calibri"/>
                <w:color w:val="000000"/>
                <w:sz w:val="20"/>
                <w:szCs w:val="20"/>
                <w:lang w:eastAsia="en-US"/>
              </w:rPr>
              <w:t>SSDs</w:t>
            </w:r>
            <w:proofErr w:type="spellEnd"/>
            <w:r>
              <w:rPr>
                <w:rFonts w:eastAsia="Calibri"/>
                <w:color w:val="000000"/>
                <w:sz w:val="20"/>
                <w:szCs w:val="20"/>
                <w:lang w:eastAsia="en-US"/>
              </w:rPr>
              <w:t xml:space="preserve"> ou </w:t>
            </w:r>
            <w:proofErr w:type="spellStart"/>
            <w:r>
              <w:rPr>
                <w:rFonts w:eastAsia="Calibri"/>
                <w:color w:val="000000"/>
                <w:sz w:val="20"/>
                <w:szCs w:val="20"/>
                <w:lang w:eastAsia="en-US"/>
              </w:rPr>
              <w:t>Drivecages</w:t>
            </w:r>
            <w:proofErr w:type="spellEnd"/>
            <w:r>
              <w:rPr>
                <w:rFonts w:eastAsia="Calibri"/>
                <w:color w:val="000000"/>
                <w:sz w:val="20"/>
                <w:szCs w:val="20"/>
                <w:lang w:eastAsia="en-US"/>
              </w:rPr>
              <w:t>). Conectores de áudio frontais para headphone e microfone sendo aceita interface tipo combo e alto-falante de 1,5W integrado internamente ao gabinete.</w:t>
            </w:r>
          </w:p>
          <w:p w14:paraId="1502D828"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Fonte de Alimentação</w:t>
            </w:r>
            <w:r>
              <w:rPr>
                <w:rFonts w:eastAsia="Calibri"/>
                <w:color w:val="000000"/>
                <w:sz w:val="20"/>
                <w:szCs w:val="20"/>
                <w:lang w:eastAsia="en-US"/>
              </w:rPr>
              <w:t xml:space="preserve"> com tensão de entrada automática, do tipo externa com potência de 65W e eficiência energética comprovada de 87%.</w:t>
            </w:r>
          </w:p>
          <w:p w14:paraId="292B41FC"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Teclado padrão ABNT-2 e Mouse laser ou óptico 1000dpi, com conectores USB, da mesma marca e fabricante do computador. Não serão aceitas soluções em regime de OEM.</w:t>
            </w:r>
          </w:p>
          <w:p w14:paraId="7B8F3703"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Sistema operacional instalado </w:t>
            </w:r>
            <w:r>
              <w:rPr>
                <w:rFonts w:eastAsia="Calibri"/>
                <w:b/>
                <w:bCs/>
                <w:color w:val="000000"/>
                <w:sz w:val="20"/>
                <w:szCs w:val="20"/>
                <w:lang w:eastAsia="en-US"/>
              </w:rPr>
              <w:lastRenderedPageBreak/>
              <w:t>para Microsoft Windows 10 Professional 64 bits ou superior</w:t>
            </w:r>
            <w:r>
              <w:rPr>
                <w:rFonts w:eastAsia="Calibri"/>
                <w:color w:val="000000"/>
                <w:sz w:val="20"/>
                <w:szCs w:val="20"/>
                <w:lang w:eastAsia="en-US"/>
              </w:rPr>
              <w:t>, licenciado com ativação através da BIOS do computador.</w:t>
            </w:r>
          </w:p>
          <w:p w14:paraId="403E5F75"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Monitor com tela IPS WLED 21” Pol</w:t>
            </w:r>
            <w:r>
              <w:rPr>
                <w:rFonts w:eastAsia="Calibri"/>
                <w:color w:val="000000"/>
                <w:sz w:val="20"/>
                <w:szCs w:val="20"/>
                <w:lang w:eastAsia="en-US"/>
              </w:rPr>
              <w:t xml:space="preserve">. com ângulos de visualização amplos de 178 graus, resolução </w:t>
            </w:r>
            <w:proofErr w:type="spellStart"/>
            <w:r>
              <w:rPr>
                <w:rFonts w:eastAsia="Calibri"/>
                <w:color w:val="000000"/>
                <w:sz w:val="20"/>
                <w:szCs w:val="20"/>
                <w:lang w:eastAsia="en-US"/>
              </w:rPr>
              <w:t>Full</w:t>
            </w:r>
            <w:proofErr w:type="spellEnd"/>
            <w:r>
              <w:rPr>
                <w:rFonts w:eastAsia="Calibri"/>
                <w:color w:val="000000"/>
                <w:sz w:val="20"/>
                <w:szCs w:val="20"/>
                <w:lang w:eastAsia="en-US"/>
              </w:rPr>
              <w:t xml:space="preserve"> HD de 1920 </w:t>
            </w:r>
            <w:proofErr w:type="gramStart"/>
            <w:r>
              <w:rPr>
                <w:rFonts w:eastAsia="Calibri"/>
                <w:color w:val="000000"/>
                <w:sz w:val="20"/>
                <w:szCs w:val="20"/>
                <w:lang w:eastAsia="en-US"/>
              </w:rPr>
              <w:t>x</w:t>
            </w:r>
            <w:proofErr w:type="gramEnd"/>
            <w:r>
              <w:rPr>
                <w:rFonts w:eastAsia="Calibri"/>
                <w:color w:val="000000"/>
                <w:sz w:val="20"/>
                <w:szCs w:val="20"/>
                <w:lang w:eastAsia="en-US"/>
              </w:rPr>
              <w:t xml:space="preserve"> 1080, ajuste de altura, inclinação, rotação e orientação do monitor. Portas de conexão HDMI, DP e VGA integradas ao monitor. Padrão VESA de 100 mm e alimentação de energia bivolt. Deverá acompanhar cabos e manual. O monitor deverá ser da mesma marca e fabricante do computador ofertado.</w:t>
            </w:r>
          </w:p>
          <w:p w14:paraId="33E0DE9A" w14:textId="77777777" w:rsidR="000A5E86" w:rsidRDefault="000A5E86" w:rsidP="00F24150">
            <w:pPr>
              <w:autoSpaceDE w:val="0"/>
              <w:autoSpaceDN w:val="0"/>
              <w:adjustRightInd w:val="0"/>
              <w:spacing w:line="276" w:lineRule="auto"/>
              <w:jc w:val="both"/>
              <w:rPr>
                <w:rFonts w:eastAsia="Calibri"/>
                <w:color w:val="000000"/>
                <w:sz w:val="20"/>
                <w:szCs w:val="20"/>
                <w:lang w:val="pt-PT" w:eastAsia="en-US"/>
              </w:rPr>
            </w:pPr>
            <w:r>
              <w:rPr>
                <w:rFonts w:eastAsia="Calibri"/>
                <w:b/>
                <w:bCs/>
                <w:color w:val="000000"/>
                <w:sz w:val="20"/>
                <w:szCs w:val="20"/>
                <w:lang w:val="pt-PT" w:eastAsia="en-US"/>
              </w:rPr>
              <w:t>Garantia</w:t>
            </w:r>
            <w:r>
              <w:rPr>
                <w:rFonts w:eastAsia="Calibri"/>
                <w:color w:val="000000"/>
                <w:sz w:val="20"/>
                <w:szCs w:val="20"/>
                <w:lang w:val="pt-PT" w:eastAsia="en-US"/>
              </w:rPr>
              <w:t xml:space="preserve"> padrão do fabricante do computador, por um período de 36(trinta e seis) meses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Não serão aceitas adaptações no equipamento, adição ou subtração de componentes por empresas não autorizadas pelo fabricante, esta exigência visa a procedência e compatibilidade total do equipamento, apresentar </w:t>
            </w:r>
            <w:r>
              <w:rPr>
                <w:rFonts w:eastAsia="Calibri"/>
                <w:color w:val="000000"/>
                <w:sz w:val="20"/>
                <w:szCs w:val="20"/>
                <w:lang w:val="pt-PT" w:eastAsia="en-US"/>
              </w:rPr>
              <w:lastRenderedPageBreak/>
              <w:t>declaração do fabricante juntamente com a proposta. O Fabricante do computador deverá possuir site na internet para downloads de drivers e dos softwares originais instalados na fábrica, bem como para verificação status de garantia vigente.</w:t>
            </w:r>
          </w:p>
          <w:p w14:paraId="54C87E47" w14:textId="77777777" w:rsidR="000A5E86" w:rsidRDefault="000A5E86" w:rsidP="00F24150">
            <w:pPr>
              <w:autoSpaceDE w:val="0"/>
              <w:autoSpaceDN w:val="0"/>
              <w:adjustRightInd w:val="0"/>
              <w:spacing w:line="276" w:lineRule="auto"/>
              <w:jc w:val="both"/>
              <w:rPr>
                <w:rFonts w:eastAsia="Calibri"/>
                <w:color w:val="000000"/>
                <w:sz w:val="20"/>
                <w:szCs w:val="20"/>
                <w:lang w:val="pt-PT" w:eastAsia="en-US"/>
              </w:rPr>
            </w:pPr>
            <w:r>
              <w:rPr>
                <w:rFonts w:eastAsia="Calibri"/>
                <w:color w:val="000000"/>
                <w:sz w:val="20"/>
                <w:szCs w:val="20"/>
                <w:lang w:val="pt-PT" w:eastAsia="en-US"/>
              </w:rPr>
              <w:t>O computador ofertado deverá estar enquadrado ou de acordo com as diretivas RoHS, ENERGY STAR, EPEAT Gold, DMTF Board ou CIM e ser compatível com sistemas operacionais Windows, comprovado através da certificação HCL do respectivo desenvolvedor.</w:t>
            </w:r>
          </w:p>
          <w:p w14:paraId="2AA15CCF"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val="pt-PT" w:eastAsia="en-US"/>
              </w:rPr>
              <w:t>A proposta deverá destacar claramente a marca, modelo e o processador para os 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418" w:type="dxa"/>
            <w:tcBorders>
              <w:top w:val="single" w:sz="4" w:space="0" w:color="auto"/>
              <w:left w:val="single" w:sz="12" w:space="0" w:color="auto"/>
              <w:bottom w:val="single" w:sz="12" w:space="0" w:color="auto"/>
              <w:right w:val="single" w:sz="12" w:space="0" w:color="auto"/>
            </w:tcBorders>
          </w:tcPr>
          <w:p w14:paraId="0B724413" w14:textId="77777777" w:rsidR="000A5E86" w:rsidRDefault="000A5E86" w:rsidP="00F24150">
            <w:pPr>
              <w:spacing w:line="276" w:lineRule="auto"/>
              <w:jc w:val="center"/>
              <w:rPr>
                <w:sz w:val="20"/>
                <w:szCs w:val="20"/>
                <w:lang w:eastAsia="en-US"/>
              </w:rPr>
            </w:pPr>
            <w:r>
              <w:rPr>
                <w:sz w:val="20"/>
                <w:szCs w:val="20"/>
                <w:lang w:eastAsia="en-US"/>
              </w:rPr>
              <w:lastRenderedPageBreak/>
              <w:t>HP PRODESK 405 G6 DM</w:t>
            </w:r>
          </w:p>
        </w:tc>
        <w:tc>
          <w:tcPr>
            <w:tcW w:w="1134" w:type="dxa"/>
            <w:tcBorders>
              <w:top w:val="single" w:sz="4" w:space="0" w:color="auto"/>
              <w:left w:val="single" w:sz="12" w:space="0" w:color="auto"/>
              <w:bottom w:val="single" w:sz="12" w:space="0" w:color="auto"/>
              <w:right w:val="single" w:sz="12" w:space="0" w:color="auto"/>
            </w:tcBorders>
          </w:tcPr>
          <w:p w14:paraId="39AA3C55" w14:textId="77777777" w:rsidR="000A5E86" w:rsidRDefault="000A5E86" w:rsidP="00F24150">
            <w:pPr>
              <w:spacing w:line="276" w:lineRule="auto"/>
              <w:jc w:val="center"/>
              <w:rPr>
                <w:b/>
                <w:sz w:val="20"/>
                <w:szCs w:val="20"/>
                <w:lang w:eastAsia="en-US"/>
              </w:rPr>
            </w:pPr>
            <w:r>
              <w:rPr>
                <w:b/>
                <w:sz w:val="20"/>
                <w:szCs w:val="20"/>
                <w:lang w:eastAsia="en-US"/>
              </w:rPr>
              <w:t>6.005,00</w:t>
            </w:r>
          </w:p>
        </w:tc>
        <w:tc>
          <w:tcPr>
            <w:tcW w:w="1559" w:type="dxa"/>
            <w:tcBorders>
              <w:top w:val="single" w:sz="4" w:space="0" w:color="auto"/>
              <w:left w:val="single" w:sz="12" w:space="0" w:color="auto"/>
              <w:bottom w:val="single" w:sz="12" w:space="0" w:color="auto"/>
              <w:right w:val="single" w:sz="12" w:space="0" w:color="auto"/>
            </w:tcBorders>
          </w:tcPr>
          <w:p w14:paraId="52D961E5" w14:textId="77777777" w:rsidR="000A5E86" w:rsidRDefault="000A5E86" w:rsidP="00F24150">
            <w:pPr>
              <w:spacing w:line="276" w:lineRule="auto"/>
              <w:jc w:val="center"/>
              <w:rPr>
                <w:b/>
                <w:sz w:val="20"/>
                <w:szCs w:val="20"/>
                <w:lang w:eastAsia="en-US"/>
              </w:rPr>
            </w:pPr>
            <w:r>
              <w:rPr>
                <w:b/>
                <w:sz w:val="20"/>
                <w:szCs w:val="20"/>
                <w:lang w:eastAsia="en-US"/>
              </w:rPr>
              <w:t>120.100,00</w:t>
            </w:r>
          </w:p>
        </w:tc>
      </w:tr>
      <w:tr w:rsidR="000A5E86" w14:paraId="100565F0" w14:textId="77777777" w:rsidTr="009565A5">
        <w:trPr>
          <w:trHeight w:val="180"/>
        </w:trPr>
        <w:tc>
          <w:tcPr>
            <w:tcW w:w="709" w:type="dxa"/>
            <w:tcBorders>
              <w:top w:val="single" w:sz="4" w:space="0" w:color="auto"/>
              <w:left w:val="single" w:sz="12" w:space="0" w:color="auto"/>
              <w:bottom w:val="single" w:sz="12" w:space="0" w:color="auto"/>
              <w:right w:val="single" w:sz="12" w:space="0" w:color="auto"/>
            </w:tcBorders>
            <w:hideMark/>
          </w:tcPr>
          <w:p w14:paraId="62A65A8B" w14:textId="77777777" w:rsidR="000A5E86" w:rsidRDefault="000A5E86" w:rsidP="00F24150">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lastRenderedPageBreak/>
              <w:t>19</w:t>
            </w:r>
          </w:p>
        </w:tc>
        <w:tc>
          <w:tcPr>
            <w:tcW w:w="850" w:type="dxa"/>
            <w:tcBorders>
              <w:top w:val="single" w:sz="4" w:space="0" w:color="auto"/>
              <w:left w:val="single" w:sz="12" w:space="0" w:color="auto"/>
              <w:bottom w:val="single" w:sz="12" w:space="0" w:color="auto"/>
              <w:right w:val="single" w:sz="12" w:space="0" w:color="auto"/>
            </w:tcBorders>
            <w:hideMark/>
          </w:tcPr>
          <w:p w14:paraId="22EC771E"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12" w:space="0" w:color="auto"/>
              <w:right w:val="single" w:sz="12" w:space="0" w:color="auto"/>
            </w:tcBorders>
            <w:hideMark/>
          </w:tcPr>
          <w:p w14:paraId="64A26D99"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15</w:t>
            </w:r>
          </w:p>
        </w:tc>
        <w:tc>
          <w:tcPr>
            <w:tcW w:w="2835" w:type="dxa"/>
            <w:tcBorders>
              <w:top w:val="single" w:sz="4" w:space="0" w:color="auto"/>
              <w:left w:val="single" w:sz="12" w:space="0" w:color="auto"/>
              <w:bottom w:val="single" w:sz="12" w:space="0" w:color="auto"/>
              <w:right w:val="single" w:sz="12" w:space="0" w:color="auto"/>
            </w:tcBorders>
            <w:hideMark/>
          </w:tcPr>
          <w:p w14:paraId="46536D29" w14:textId="77777777" w:rsidR="000A5E86" w:rsidRDefault="000A5E86" w:rsidP="00F24150">
            <w:pPr>
              <w:widowControl w:val="0"/>
              <w:autoSpaceDE w:val="0"/>
              <w:autoSpaceDN w:val="0"/>
              <w:spacing w:line="276" w:lineRule="auto"/>
              <w:ind w:left="66"/>
              <w:jc w:val="both"/>
              <w:rPr>
                <w:rFonts w:eastAsia="Tahoma"/>
                <w:b/>
                <w:bCs/>
                <w:sz w:val="20"/>
                <w:szCs w:val="20"/>
                <w:lang w:eastAsia="en-US" w:bidi="pt-BR"/>
              </w:rPr>
            </w:pPr>
            <w:r>
              <w:rPr>
                <w:rFonts w:eastAsia="Tahoma"/>
                <w:b/>
                <w:bCs/>
                <w:sz w:val="20"/>
                <w:szCs w:val="20"/>
                <w:lang w:eastAsia="en-US" w:bidi="pt-BR"/>
              </w:rPr>
              <w:t>NOTEBOOK CORPORATIVO TIPO 02 COM AS SEGUINTES CARACTERÍSTICAS MÍNIMAS:</w:t>
            </w:r>
          </w:p>
          <w:p w14:paraId="098F8AED"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lastRenderedPageBreak/>
              <w:t>Os equipamentos devem pertencer à linha corporativa, serem novos e sem uso, apresentar declaração do fabricante juntamente com a proposta, com emissão não superior a 30 dias.</w:t>
            </w:r>
          </w:p>
          <w:p w14:paraId="62D14F15"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Processador </w:t>
            </w:r>
            <w:r>
              <w:rPr>
                <w:rFonts w:eastAsia="Calibri"/>
                <w:color w:val="000000"/>
                <w:sz w:val="20"/>
                <w:szCs w:val="20"/>
                <w:lang w:eastAsia="en-US"/>
              </w:rPr>
              <w:t xml:space="preserve">4 núcleos físicos, 8 threads, frequência base de 1.0Ghz, com características e desempenho equivalente ou superior ao índice de 7.000 pontos registrado </w:t>
            </w:r>
            <w:proofErr w:type="spellStart"/>
            <w:r>
              <w:rPr>
                <w:rFonts w:eastAsia="Calibri"/>
                <w:color w:val="000000"/>
                <w:sz w:val="20"/>
                <w:szCs w:val="20"/>
                <w:lang w:eastAsia="en-US"/>
              </w:rPr>
              <w:t>PassMark</w:t>
            </w:r>
            <w:proofErr w:type="spellEnd"/>
            <w:r>
              <w:rPr>
                <w:rFonts w:eastAsia="Calibri"/>
                <w:color w:val="000000"/>
                <w:sz w:val="20"/>
                <w:szCs w:val="20"/>
                <w:lang w:eastAsia="en-US"/>
              </w:rPr>
              <w:t xml:space="preserve"> - CPU Benchmarks disponível no site http://www.cpubenchmark.net/cpu_list.php.</w:t>
            </w:r>
          </w:p>
          <w:p w14:paraId="12D3C02F"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Memória 8GB de memória DDR4 instalada, operando a 2.666Mhz.</w:t>
            </w:r>
          </w:p>
          <w:p w14:paraId="60807F99"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Armazenamento</w:t>
            </w:r>
            <w:r>
              <w:rPr>
                <w:rFonts w:eastAsia="Calibri"/>
                <w:color w:val="000000"/>
                <w:sz w:val="20"/>
                <w:szCs w:val="20"/>
                <w:lang w:eastAsia="en-US"/>
              </w:rPr>
              <w:t xml:space="preserve"> instalado do tipo SSD com capacidade de 240GB, do próprio fabricante ou homologado, apresentar </w:t>
            </w:r>
            <w:proofErr w:type="spellStart"/>
            <w:r>
              <w:rPr>
                <w:rFonts w:eastAsia="Calibri"/>
                <w:color w:val="000000"/>
                <w:sz w:val="20"/>
                <w:szCs w:val="20"/>
                <w:lang w:eastAsia="en-US"/>
              </w:rPr>
              <w:t>part</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number</w:t>
            </w:r>
            <w:proofErr w:type="spellEnd"/>
            <w:r>
              <w:rPr>
                <w:rFonts w:eastAsia="Calibri"/>
                <w:color w:val="000000"/>
                <w:sz w:val="20"/>
                <w:szCs w:val="20"/>
                <w:lang w:eastAsia="en-US"/>
              </w:rPr>
              <w:t xml:space="preserve"> juntamente a proposta.</w:t>
            </w:r>
          </w:p>
          <w:p w14:paraId="3CABF716"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Placa Principal</w:t>
            </w:r>
            <w:r>
              <w:rPr>
                <w:rFonts w:eastAsia="Calibri"/>
                <w:color w:val="000000"/>
                <w:sz w:val="20"/>
                <w:szCs w:val="20"/>
                <w:lang w:eastAsia="en-US"/>
              </w:rPr>
              <w:t xml:space="preserve"> da mesma marca do fabricante do equipamento, desenvolvida especificamente para o modelo ofertado, BIOS com direitos de copyright em português, em conformidade com UEFI </w:t>
            </w:r>
            <w:proofErr w:type="gramStart"/>
            <w:r>
              <w:rPr>
                <w:rFonts w:eastAsia="Calibri"/>
                <w:color w:val="000000"/>
                <w:sz w:val="20"/>
                <w:szCs w:val="20"/>
                <w:lang w:eastAsia="en-US"/>
              </w:rPr>
              <w:t>2.1 categoria</w:t>
            </w:r>
            <w:proofErr w:type="gramEnd"/>
            <w:r>
              <w:rPr>
                <w:rFonts w:eastAsia="Calibri"/>
                <w:color w:val="000000"/>
                <w:sz w:val="20"/>
                <w:szCs w:val="20"/>
                <w:lang w:eastAsia="en-US"/>
              </w:rPr>
              <w:t xml:space="preserve"> promoters, não sendo aceitas ambas as soluções em regime de OEM ou customizadas. Chipset desenvolvido para o mercado móvel, integrado ao processador em uma única pastilha, tipo SOC (System </w:t>
            </w:r>
            <w:proofErr w:type="spellStart"/>
            <w:r>
              <w:rPr>
                <w:rFonts w:eastAsia="Calibri"/>
                <w:color w:val="000000"/>
                <w:sz w:val="20"/>
                <w:szCs w:val="20"/>
                <w:lang w:eastAsia="en-US"/>
              </w:rPr>
              <w:t>on</w:t>
            </w:r>
            <w:proofErr w:type="spellEnd"/>
            <w:r>
              <w:rPr>
                <w:rFonts w:eastAsia="Calibri"/>
                <w:color w:val="000000"/>
                <w:sz w:val="20"/>
                <w:szCs w:val="20"/>
                <w:lang w:eastAsia="en-US"/>
              </w:rPr>
              <w:t xml:space="preserve"> Chip). Deverá possuir 2 (dois) slots de memória, com suporte a expansão de 16GB. Conectividade cabeada no padrão gigabit e sem fio no padrão 802.11ac e Bluetooth 4.2, ambos </w:t>
            </w:r>
            <w:r>
              <w:rPr>
                <w:rFonts w:eastAsia="Calibri"/>
                <w:color w:val="000000"/>
                <w:sz w:val="20"/>
                <w:szCs w:val="20"/>
                <w:lang w:eastAsia="en-US"/>
              </w:rPr>
              <w:lastRenderedPageBreak/>
              <w:t xml:space="preserve">integrados a placa mãe. Uma saída para conexão de vídeo no padrão digital, não sendo aceita soluções através de adaptadores. Três portas USB 3.1 5Gbps, leitor de cartões disposto no gabinete e segurança integrada do tipo </w:t>
            </w:r>
            <w:proofErr w:type="spellStart"/>
            <w:r>
              <w:rPr>
                <w:rFonts w:eastAsia="Calibri"/>
                <w:color w:val="000000"/>
                <w:sz w:val="20"/>
                <w:szCs w:val="20"/>
                <w:lang w:eastAsia="en-US"/>
              </w:rPr>
              <w:t>fTPM</w:t>
            </w:r>
            <w:proofErr w:type="spellEnd"/>
            <w:r>
              <w:rPr>
                <w:rFonts w:eastAsia="Calibri"/>
                <w:color w:val="000000"/>
                <w:sz w:val="20"/>
                <w:szCs w:val="20"/>
                <w:lang w:eastAsia="en-US"/>
              </w:rPr>
              <w:t xml:space="preserve"> para criptografia de dados.</w:t>
            </w:r>
          </w:p>
          <w:p w14:paraId="2C32CD0D"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Tela com tecnologia HD LED de 15.6 polegadas, resolução de 1366 </w:t>
            </w:r>
            <w:proofErr w:type="gramStart"/>
            <w:r>
              <w:rPr>
                <w:rFonts w:eastAsia="Calibri"/>
                <w:color w:val="000000"/>
                <w:sz w:val="20"/>
                <w:szCs w:val="20"/>
                <w:lang w:eastAsia="en-US"/>
              </w:rPr>
              <w:t>x</w:t>
            </w:r>
            <w:proofErr w:type="gramEnd"/>
            <w:r>
              <w:rPr>
                <w:rFonts w:eastAsia="Calibri"/>
                <w:color w:val="000000"/>
                <w:sz w:val="20"/>
                <w:szCs w:val="20"/>
                <w:lang w:eastAsia="en-US"/>
              </w:rPr>
              <w:t xml:space="preserve"> 768.</w:t>
            </w:r>
          </w:p>
          <w:p w14:paraId="33F13F32"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Multimídia com controle de volume e alto-falantes de som estéreo 16bits incorporado à placa mãe. Deverá possuir conector (es) de entrada e saída de áudio, microfone, e webcam integrada ao gabinete.</w:t>
            </w:r>
          </w:p>
          <w:p w14:paraId="491221FA"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Teclado em conformidade com o padrão ABNT-2 padrão português BR. A impressão sobre as teclas deverá ser do tipo permanente, não podendo apresentar desgaste por abrasão ou uso prolongado.</w:t>
            </w:r>
          </w:p>
          <w:p w14:paraId="57AE523B"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Dispositivo apontador sensível ao toque (</w:t>
            </w:r>
            <w:proofErr w:type="spellStart"/>
            <w:r>
              <w:rPr>
                <w:rFonts w:eastAsia="Calibri"/>
                <w:color w:val="000000"/>
                <w:sz w:val="20"/>
                <w:szCs w:val="20"/>
                <w:lang w:eastAsia="en-US"/>
              </w:rPr>
              <w:t>touchpad</w:t>
            </w:r>
            <w:proofErr w:type="spellEnd"/>
            <w:r>
              <w:rPr>
                <w:rFonts w:eastAsia="Calibri"/>
                <w:color w:val="000000"/>
                <w:sz w:val="20"/>
                <w:szCs w:val="20"/>
                <w:lang w:eastAsia="en-US"/>
              </w:rPr>
              <w:t xml:space="preserve">) incorporado com no mínimo 2 botões. </w:t>
            </w:r>
          </w:p>
          <w:p w14:paraId="5595762D"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Fonte de Alimentação bivolt automática e bateria recarregável de Lítio-</w:t>
            </w:r>
            <w:proofErr w:type="spellStart"/>
            <w:r>
              <w:rPr>
                <w:rFonts w:eastAsia="Calibri"/>
                <w:color w:val="000000"/>
                <w:sz w:val="20"/>
                <w:szCs w:val="20"/>
                <w:lang w:eastAsia="en-US"/>
              </w:rPr>
              <w:t>ion</w:t>
            </w:r>
            <w:proofErr w:type="spellEnd"/>
            <w:r>
              <w:rPr>
                <w:rFonts w:eastAsia="Calibri"/>
                <w:color w:val="000000"/>
                <w:sz w:val="20"/>
                <w:szCs w:val="20"/>
                <w:lang w:eastAsia="en-US"/>
              </w:rPr>
              <w:t xml:space="preserve"> (Li-</w:t>
            </w:r>
            <w:proofErr w:type="spellStart"/>
            <w:r>
              <w:rPr>
                <w:rFonts w:eastAsia="Calibri"/>
                <w:color w:val="000000"/>
                <w:sz w:val="20"/>
                <w:szCs w:val="20"/>
                <w:lang w:eastAsia="en-US"/>
              </w:rPr>
              <w:t>ion</w:t>
            </w:r>
            <w:proofErr w:type="spellEnd"/>
            <w:r>
              <w:rPr>
                <w:rFonts w:eastAsia="Calibri"/>
                <w:color w:val="000000"/>
                <w:sz w:val="20"/>
                <w:szCs w:val="20"/>
                <w:lang w:eastAsia="en-US"/>
              </w:rPr>
              <w:t xml:space="preserve">) de 41 </w:t>
            </w:r>
            <w:proofErr w:type="spellStart"/>
            <w:r>
              <w:rPr>
                <w:rFonts w:eastAsia="Calibri"/>
                <w:color w:val="000000"/>
                <w:sz w:val="20"/>
                <w:szCs w:val="20"/>
                <w:lang w:eastAsia="en-US"/>
              </w:rPr>
              <w:t>Whr</w:t>
            </w:r>
            <w:proofErr w:type="spellEnd"/>
            <w:r>
              <w:rPr>
                <w:rFonts w:eastAsia="Calibri"/>
                <w:color w:val="000000"/>
                <w:sz w:val="20"/>
                <w:szCs w:val="20"/>
                <w:lang w:eastAsia="en-US"/>
              </w:rPr>
              <w:t>, suportando autonomia de 9 horas.</w:t>
            </w:r>
          </w:p>
          <w:p w14:paraId="61E386E5"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Acompanhar uma mochila para o transporte do equipamento com segurança, contendo a mesma marca do equipamento ofertado.</w:t>
            </w:r>
          </w:p>
          <w:p w14:paraId="70BAE444"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Sistema operacional instalado para Microsoft Windows 10 Professional 64 bits ou superior</w:t>
            </w:r>
            <w:r>
              <w:rPr>
                <w:rFonts w:eastAsia="Calibri"/>
                <w:color w:val="000000"/>
                <w:sz w:val="20"/>
                <w:szCs w:val="20"/>
                <w:lang w:eastAsia="en-US"/>
              </w:rPr>
              <w:t>, licenciado com ativação através da BIOS do computador.</w:t>
            </w:r>
          </w:p>
          <w:p w14:paraId="4CD4062E"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Garantia</w:t>
            </w:r>
            <w:r>
              <w:rPr>
                <w:rFonts w:eastAsia="Calibri"/>
                <w:color w:val="000000"/>
                <w:sz w:val="20"/>
                <w:szCs w:val="20"/>
                <w:lang w:eastAsia="en-US"/>
              </w:rPr>
              <w:t xml:space="preserve"> padrão do fabricante, por um período de </w:t>
            </w:r>
            <w:r>
              <w:rPr>
                <w:rFonts w:eastAsia="Calibri"/>
                <w:b/>
                <w:bCs/>
                <w:color w:val="000000"/>
                <w:sz w:val="20"/>
                <w:szCs w:val="20"/>
                <w:lang w:eastAsia="en-US"/>
              </w:rPr>
              <w:t xml:space="preserve">36(trinta e </w:t>
            </w:r>
            <w:r>
              <w:rPr>
                <w:rFonts w:eastAsia="Calibri"/>
                <w:b/>
                <w:bCs/>
                <w:color w:val="000000"/>
                <w:sz w:val="20"/>
                <w:szCs w:val="20"/>
                <w:lang w:eastAsia="en-US"/>
              </w:rPr>
              <w:lastRenderedPageBreak/>
              <w:t>seis) meses e 12(doze) meses para bateria</w:t>
            </w:r>
            <w:r>
              <w:rPr>
                <w:rFonts w:eastAsia="Calibri"/>
                <w:color w:val="000000"/>
                <w:sz w:val="20"/>
                <w:szCs w:val="20"/>
                <w:lang w:eastAsia="en-US"/>
              </w:rPr>
              <w:t>, com mão-de-obra de assistência técnica e serviço de suporte para reposição e reparo de peças danificadas por problemas de fabricação, exceto para componentes de upgrade. O fabricante, deve possuir central de atendimento tipo (0800) para abertura dos chamados de garantia capazes de executar tarefas de troubleshooting e resolver problemas durante o próprio atendimento, comprometendo- se a manter registros dos mesmos constando a descrição do problema. Não serão aceitas adaptações no equipamento, adição ou subtração de componentes por empresas não autorizadas, esta exigência visa a procedência e garantia total do equipamento pelo fabricante, apresentar comprovação do fabricante juntamente com a proposta. O fabricante do computador devera possuir site na internet para downloads de drivers e dos softwares originais instalados na fábrica, bem como para verificação status de garantia vigente.</w:t>
            </w:r>
          </w:p>
          <w:p w14:paraId="7CFDE7C0"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 computador ofertado deverá estar enquadrado ou de acordo com as diretivas </w:t>
            </w:r>
            <w:proofErr w:type="spellStart"/>
            <w:r>
              <w:rPr>
                <w:rFonts w:eastAsia="Calibri"/>
                <w:color w:val="000000"/>
                <w:sz w:val="20"/>
                <w:szCs w:val="20"/>
                <w:lang w:eastAsia="en-US"/>
              </w:rPr>
              <w:t>RoHS</w:t>
            </w:r>
            <w:proofErr w:type="spellEnd"/>
            <w:r>
              <w:rPr>
                <w:rFonts w:eastAsia="Calibri"/>
                <w:color w:val="000000"/>
                <w:sz w:val="20"/>
                <w:szCs w:val="20"/>
                <w:lang w:eastAsia="en-US"/>
              </w:rPr>
              <w:t xml:space="preserve">, ENERGY STAR, EPEAT Silver, DMTF </w:t>
            </w:r>
            <w:proofErr w:type="spellStart"/>
            <w:r>
              <w:rPr>
                <w:rFonts w:eastAsia="Calibri"/>
                <w:color w:val="000000"/>
                <w:sz w:val="20"/>
                <w:szCs w:val="20"/>
                <w:lang w:eastAsia="en-US"/>
              </w:rPr>
              <w:t>Board</w:t>
            </w:r>
            <w:proofErr w:type="spellEnd"/>
            <w:r>
              <w:rPr>
                <w:rFonts w:eastAsia="Calibri"/>
                <w:color w:val="000000"/>
                <w:sz w:val="20"/>
                <w:szCs w:val="20"/>
                <w:lang w:eastAsia="en-US"/>
              </w:rPr>
              <w:t xml:space="preserve"> ou CIM e ser compatível com sistemas operacionais Windows, comprovado através da certificação HCL do respectivo desenvolvedor.</w:t>
            </w:r>
          </w:p>
          <w:p w14:paraId="33B0B72C"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color w:val="000000"/>
                <w:sz w:val="20"/>
                <w:szCs w:val="20"/>
                <w:lang w:eastAsia="en-US"/>
              </w:rPr>
              <w:t xml:space="preserve">A proposta deverá destacar claramente a marca, modelo e o processador para os </w:t>
            </w:r>
            <w:r>
              <w:rPr>
                <w:rFonts w:eastAsia="Calibri"/>
                <w:color w:val="000000"/>
                <w:sz w:val="20"/>
                <w:szCs w:val="20"/>
                <w:lang w:eastAsia="en-US"/>
              </w:rPr>
              <w:lastRenderedPageBreak/>
              <w:t>equipamentos ofertados, devendo ainda ser apresentado juntamente com a proposta, comprovações oficiais do fabricante destacando modelo ofertado, componentes, acessórios e garantia. No caso das certificações extraídas da internet, apresentar página impressa onde consta tal informação, especificando o endereço eletrônico da fonte extraída. Permitindo que a comissão de licitação, comprove pleno atendimento de todas as características técnicas do computador e periféricos em conformidade com as descritas no edital e seus anexos, sob pena de desclassificação da proposta.</w:t>
            </w:r>
          </w:p>
        </w:tc>
        <w:tc>
          <w:tcPr>
            <w:tcW w:w="1418" w:type="dxa"/>
            <w:tcBorders>
              <w:top w:val="single" w:sz="4" w:space="0" w:color="auto"/>
              <w:left w:val="single" w:sz="12" w:space="0" w:color="auto"/>
              <w:bottom w:val="single" w:sz="12" w:space="0" w:color="auto"/>
              <w:right w:val="single" w:sz="12" w:space="0" w:color="auto"/>
            </w:tcBorders>
          </w:tcPr>
          <w:p w14:paraId="1D6FE7BB" w14:textId="77777777" w:rsidR="000A5E86" w:rsidRDefault="000A5E86" w:rsidP="00F24150">
            <w:pPr>
              <w:spacing w:line="276" w:lineRule="auto"/>
              <w:jc w:val="both"/>
              <w:rPr>
                <w:sz w:val="20"/>
                <w:szCs w:val="20"/>
                <w:lang w:eastAsia="en-US"/>
              </w:rPr>
            </w:pPr>
            <w:r>
              <w:rPr>
                <w:sz w:val="20"/>
                <w:szCs w:val="20"/>
                <w:lang w:eastAsia="en-US"/>
              </w:rPr>
              <w:lastRenderedPageBreak/>
              <w:t xml:space="preserve">HP 250 G8 </w:t>
            </w:r>
          </w:p>
        </w:tc>
        <w:tc>
          <w:tcPr>
            <w:tcW w:w="1134" w:type="dxa"/>
            <w:tcBorders>
              <w:top w:val="single" w:sz="4" w:space="0" w:color="auto"/>
              <w:left w:val="single" w:sz="12" w:space="0" w:color="auto"/>
              <w:bottom w:val="single" w:sz="12" w:space="0" w:color="auto"/>
              <w:right w:val="single" w:sz="12" w:space="0" w:color="auto"/>
            </w:tcBorders>
          </w:tcPr>
          <w:p w14:paraId="6919B51E" w14:textId="77777777" w:rsidR="000A5E86" w:rsidRDefault="000A5E86" w:rsidP="00F24150">
            <w:pPr>
              <w:spacing w:line="276" w:lineRule="auto"/>
              <w:jc w:val="center"/>
              <w:rPr>
                <w:b/>
                <w:sz w:val="20"/>
                <w:szCs w:val="20"/>
                <w:lang w:eastAsia="en-US"/>
              </w:rPr>
            </w:pPr>
            <w:r>
              <w:rPr>
                <w:b/>
                <w:sz w:val="20"/>
                <w:szCs w:val="20"/>
                <w:lang w:eastAsia="en-US"/>
              </w:rPr>
              <w:t>4.940,00</w:t>
            </w:r>
          </w:p>
        </w:tc>
        <w:tc>
          <w:tcPr>
            <w:tcW w:w="1559" w:type="dxa"/>
            <w:tcBorders>
              <w:top w:val="single" w:sz="4" w:space="0" w:color="auto"/>
              <w:left w:val="single" w:sz="12" w:space="0" w:color="auto"/>
              <w:bottom w:val="single" w:sz="12" w:space="0" w:color="auto"/>
              <w:right w:val="single" w:sz="12" w:space="0" w:color="auto"/>
            </w:tcBorders>
          </w:tcPr>
          <w:p w14:paraId="1A4624FB" w14:textId="77777777" w:rsidR="000A5E86" w:rsidRDefault="000A5E86" w:rsidP="00F24150">
            <w:pPr>
              <w:spacing w:line="276" w:lineRule="auto"/>
              <w:jc w:val="center"/>
              <w:rPr>
                <w:b/>
                <w:sz w:val="20"/>
                <w:szCs w:val="20"/>
                <w:lang w:eastAsia="en-US"/>
              </w:rPr>
            </w:pPr>
            <w:r>
              <w:rPr>
                <w:b/>
                <w:sz w:val="20"/>
                <w:szCs w:val="20"/>
                <w:lang w:eastAsia="en-US"/>
              </w:rPr>
              <w:t>74.100,00</w:t>
            </w:r>
          </w:p>
        </w:tc>
      </w:tr>
      <w:tr w:rsidR="000A5E86" w14:paraId="149EBC9E" w14:textId="77777777" w:rsidTr="009565A5">
        <w:trPr>
          <w:trHeight w:val="180"/>
        </w:trPr>
        <w:tc>
          <w:tcPr>
            <w:tcW w:w="709" w:type="dxa"/>
            <w:tcBorders>
              <w:top w:val="single" w:sz="4" w:space="0" w:color="auto"/>
              <w:left w:val="single" w:sz="12" w:space="0" w:color="auto"/>
              <w:bottom w:val="single" w:sz="4" w:space="0" w:color="auto"/>
              <w:right w:val="single" w:sz="12" w:space="0" w:color="auto"/>
            </w:tcBorders>
            <w:hideMark/>
          </w:tcPr>
          <w:p w14:paraId="3A2456DE" w14:textId="77777777" w:rsidR="000A5E86" w:rsidRDefault="000A5E86" w:rsidP="00F24150">
            <w:pPr>
              <w:spacing w:line="276" w:lineRule="auto"/>
              <w:jc w:val="both"/>
              <w:textAlignment w:val="center"/>
              <w:rPr>
                <w:rFonts w:eastAsia="SimSun"/>
                <w:color w:val="000000"/>
                <w:sz w:val="20"/>
                <w:szCs w:val="20"/>
                <w:lang w:eastAsia="zh-CN" w:bidi="ar"/>
              </w:rPr>
            </w:pPr>
            <w:r>
              <w:rPr>
                <w:rFonts w:eastAsia="SimSun"/>
                <w:color w:val="000000"/>
                <w:sz w:val="20"/>
                <w:szCs w:val="20"/>
                <w:lang w:eastAsia="zh-CN" w:bidi="ar"/>
              </w:rPr>
              <w:lastRenderedPageBreak/>
              <w:t>21</w:t>
            </w:r>
          </w:p>
        </w:tc>
        <w:tc>
          <w:tcPr>
            <w:tcW w:w="850" w:type="dxa"/>
            <w:tcBorders>
              <w:top w:val="single" w:sz="4" w:space="0" w:color="auto"/>
              <w:left w:val="single" w:sz="12" w:space="0" w:color="auto"/>
              <w:bottom w:val="single" w:sz="4" w:space="0" w:color="auto"/>
              <w:right w:val="single" w:sz="12" w:space="0" w:color="auto"/>
            </w:tcBorders>
            <w:hideMark/>
          </w:tcPr>
          <w:p w14:paraId="1F2562B5" w14:textId="77777777" w:rsidR="000A5E86" w:rsidRDefault="000A5E86" w:rsidP="00F24150">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1134" w:type="dxa"/>
            <w:tcBorders>
              <w:top w:val="single" w:sz="4" w:space="0" w:color="auto"/>
              <w:left w:val="single" w:sz="12" w:space="0" w:color="auto"/>
              <w:bottom w:val="single" w:sz="4" w:space="0" w:color="auto"/>
              <w:right w:val="single" w:sz="12" w:space="0" w:color="auto"/>
            </w:tcBorders>
            <w:hideMark/>
          </w:tcPr>
          <w:p w14:paraId="78488E58" w14:textId="77777777" w:rsidR="000A5E86" w:rsidRDefault="000A5E86" w:rsidP="00F24150">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10</w:t>
            </w:r>
          </w:p>
        </w:tc>
        <w:tc>
          <w:tcPr>
            <w:tcW w:w="2835" w:type="dxa"/>
            <w:tcBorders>
              <w:top w:val="single" w:sz="4" w:space="0" w:color="auto"/>
              <w:left w:val="single" w:sz="12" w:space="0" w:color="auto"/>
              <w:bottom w:val="single" w:sz="4" w:space="0" w:color="auto"/>
              <w:right w:val="single" w:sz="12" w:space="0" w:color="auto"/>
            </w:tcBorders>
          </w:tcPr>
          <w:p w14:paraId="1289C8F2" w14:textId="77777777" w:rsidR="000A5E86" w:rsidRDefault="000A5E86" w:rsidP="00F24150">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MONITOR LED IPS 23.8", com as seguintes características mínimas:</w:t>
            </w:r>
          </w:p>
          <w:p w14:paraId="4AEEB2DF"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Os equipamentos devem pertencer à linha corporativa, serem novos, sem uso, não sendo aceitos equipamentos destinados ao uso doméstico ou descontinuados. Apresentar declaração do fabricante juntamente com a proposta, com emissão não superior a 30 dias. Ângulos de visualização amplos de 178 </w:t>
            </w:r>
            <w:proofErr w:type="spellStart"/>
            <w:proofErr w:type="gramStart"/>
            <w:r>
              <w:rPr>
                <w:rFonts w:eastAsia="Calibri"/>
                <w:color w:val="000000"/>
                <w:sz w:val="20"/>
                <w:szCs w:val="20"/>
                <w:lang w:eastAsia="en-US"/>
              </w:rPr>
              <w:t>graus.Resolução</w:t>
            </w:r>
            <w:proofErr w:type="spellEnd"/>
            <w:proofErr w:type="gramEnd"/>
            <w:r>
              <w:rPr>
                <w:rFonts w:eastAsia="Calibri"/>
                <w:color w:val="000000"/>
                <w:sz w:val="20"/>
                <w:szCs w:val="20"/>
                <w:lang w:eastAsia="en-US"/>
              </w:rPr>
              <w:t xml:space="preserve"> FULL HD de 1920 x 1080.Taxa de contraste dinâmico de 3m:1.Ajuste de altura 100mm, inclinação, rotação e orientação do monitor.</w:t>
            </w:r>
          </w:p>
          <w:p w14:paraId="4250EF60"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Portas HDMI, DP e VGA integradas ao </w:t>
            </w:r>
            <w:proofErr w:type="spellStart"/>
            <w:proofErr w:type="gramStart"/>
            <w:r>
              <w:rPr>
                <w:rFonts w:eastAsia="Calibri"/>
                <w:color w:val="000000"/>
                <w:sz w:val="20"/>
                <w:szCs w:val="20"/>
                <w:lang w:eastAsia="en-US"/>
              </w:rPr>
              <w:t>monitor.Padrão</w:t>
            </w:r>
            <w:proofErr w:type="spellEnd"/>
            <w:proofErr w:type="gramEnd"/>
            <w:r>
              <w:rPr>
                <w:rFonts w:eastAsia="Calibri"/>
                <w:color w:val="000000"/>
                <w:sz w:val="20"/>
                <w:szCs w:val="20"/>
                <w:lang w:eastAsia="en-US"/>
              </w:rPr>
              <w:t xml:space="preserve"> VESA de 100 </w:t>
            </w:r>
            <w:proofErr w:type="spellStart"/>
            <w:r>
              <w:rPr>
                <w:rFonts w:eastAsia="Calibri"/>
                <w:color w:val="000000"/>
                <w:sz w:val="20"/>
                <w:szCs w:val="20"/>
                <w:lang w:eastAsia="en-US"/>
              </w:rPr>
              <w:t>mm.Alimentação</w:t>
            </w:r>
            <w:proofErr w:type="spellEnd"/>
            <w:r>
              <w:rPr>
                <w:rFonts w:eastAsia="Calibri"/>
                <w:color w:val="000000"/>
                <w:sz w:val="20"/>
                <w:szCs w:val="20"/>
                <w:lang w:eastAsia="en-US"/>
              </w:rPr>
              <w:t>: bivolt.</w:t>
            </w:r>
          </w:p>
          <w:p w14:paraId="35FC11F6" w14:textId="77777777" w:rsidR="000A5E86" w:rsidRDefault="000A5E86" w:rsidP="00F24150">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Garantia de 36 meses </w:t>
            </w:r>
            <w:proofErr w:type="spellStart"/>
            <w:r>
              <w:rPr>
                <w:rFonts w:eastAsia="Calibri"/>
                <w:b/>
                <w:bCs/>
                <w:color w:val="000000"/>
                <w:sz w:val="20"/>
                <w:szCs w:val="20"/>
                <w:lang w:eastAsia="en-US"/>
              </w:rPr>
              <w:t>onsite</w:t>
            </w:r>
            <w:proofErr w:type="spellEnd"/>
            <w:r>
              <w:rPr>
                <w:rFonts w:eastAsia="Calibri"/>
                <w:color w:val="000000"/>
                <w:sz w:val="20"/>
                <w:szCs w:val="20"/>
                <w:lang w:eastAsia="en-US"/>
              </w:rPr>
              <w:t xml:space="preserve"> ou troca do monitor prestado pelo próprio fabricante, apresentar declaração do fabricante </w:t>
            </w:r>
            <w:r>
              <w:rPr>
                <w:rFonts w:eastAsia="Calibri"/>
                <w:color w:val="000000"/>
                <w:sz w:val="20"/>
                <w:szCs w:val="20"/>
                <w:lang w:eastAsia="en-US"/>
              </w:rPr>
              <w:lastRenderedPageBreak/>
              <w:t xml:space="preserve">juntamente com a proposta, comprovando o prazo e o tipo de garantia ofertado, sob pena de desclassificação da proposta. Deverá ser apresentado em anexo a proposta os seguintes certificados: EPEAT Bronze ou superior, Energy Star e HCL Microsoft </w:t>
            </w:r>
            <w:proofErr w:type="spellStart"/>
            <w:r>
              <w:rPr>
                <w:rFonts w:eastAsia="Calibri"/>
                <w:color w:val="000000"/>
                <w:sz w:val="20"/>
                <w:szCs w:val="20"/>
                <w:lang w:eastAsia="en-US"/>
              </w:rPr>
              <w:t>Win</w:t>
            </w:r>
            <w:proofErr w:type="spellEnd"/>
            <w:r>
              <w:rPr>
                <w:rFonts w:eastAsia="Calibri"/>
                <w:color w:val="000000"/>
                <w:sz w:val="20"/>
                <w:szCs w:val="20"/>
                <w:lang w:eastAsia="en-US"/>
              </w:rPr>
              <w:t xml:space="preserve"> 10 ou </w:t>
            </w:r>
            <w:proofErr w:type="spellStart"/>
            <w:proofErr w:type="gramStart"/>
            <w:r>
              <w:rPr>
                <w:rFonts w:eastAsia="Calibri"/>
                <w:color w:val="000000"/>
                <w:sz w:val="20"/>
                <w:szCs w:val="20"/>
                <w:lang w:eastAsia="en-US"/>
              </w:rPr>
              <w:t>superior.Deverá</w:t>
            </w:r>
            <w:proofErr w:type="spellEnd"/>
            <w:proofErr w:type="gramEnd"/>
            <w:r>
              <w:rPr>
                <w:rFonts w:eastAsia="Calibri"/>
                <w:color w:val="000000"/>
                <w:sz w:val="20"/>
                <w:szCs w:val="20"/>
                <w:lang w:eastAsia="en-US"/>
              </w:rPr>
              <w:t xml:space="preserve"> ser apresentado em anexo a proposta, documentação completa (incluindo catálogos e/ou manuais de referência) sobre o equipamento original, emitida pelo fabricante, que comprove todas as características técnicas e de garantia solicitadas.</w:t>
            </w:r>
          </w:p>
          <w:p w14:paraId="2249ED46" w14:textId="77777777" w:rsidR="000A5E86" w:rsidRDefault="000A5E86" w:rsidP="00F24150">
            <w:pPr>
              <w:widowControl w:val="0"/>
              <w:autoSpaceDE w:val="0"/>
              <w:autoSpaceDN w:val="0"/>
              <w:spacing w:line="276" w:lineRule="auto"/>
              <w:ind w:right="46"/>
              <w:jc w:val="both"/>
              <w:rPr>
                <w:rFonts w:eastAsia="Tahoma"/>
                <w:b/>
                <w:bCs/>
                <w:sz w:val="20"/>
                <w:szCs w:val="20"/>
                <w:lang w:eastAsia="en-US" w:bidi="pt-BR"/>
              </w:rPr>
            </w:pPr>
          </w:p>
        </w:tc>
        <w:tc>
          <w:tcPr>
            <w:tcW w:w="1418" w:type="dxa"/>
            <w:tcBorders>
              <w:top w:val="single" w:sz="4" w:space="0" w:color="auto"/>
              <w:left w:val="single" w:sz="12" w:space="0" w:color="auto"/>
              <w:bottom w:val="single" w:sz="4" w:space="0" w:color="auto"/>
              <w:right w:val="single" w:sz="12" w:space="0" w:color="auto"/>
            </w:tcBorders>
          </w:tcPr>
          <w:p w14:paraId="09206748" w14:textId="77777777" w:rsidR="000A5E86" w:rsidRDefault="000A5E86" w:rsidP="00F24150">
            <w:pPr>
              <w:spacing w:line="276" w:lineRule="auto"/>
              <w:jc w:val="both"/>
              <w:rPr>
                <w:sz w:val="20"/>
                <w:szCs w:val="20"/>
                <w:lang w:eastAsia="en-US"/>
              </w:rPr>
            </w:pPr>
            <w:r>
              <w:rPr>
                <w:sz w:val="20"/>
                <w:szCs w:val="20"/>
                <w:lang w:eastAsia="en-US"/>
              </w:rPr>
              <w:lastRenderedPageBreak/>
              <w:t>HP P24VB</w:t>
            </w:r>
          </w:p>
        </w:tc>
        <w:tc>
          <w:tcPr>
            <w:tcW w:w="1134" w:type="dxa"/>
            <w:tcBorders>
              <w:top w:val="single" w:sz="4" w:space="0" w:color="auto"/>
              <w:left w:val="single" w:sz="12" w:space="0" w:color="auto"/>
              <w:bottom w:val="single" w:sz="4" w:space="0" w:color="auto"/>
              <w:right w:val="single" w:sz="12" w:space="0" w:color="auto"/>
            </w:tcBorders>
          </w:tcPr>
          <w:p w14:paraId="3B26E842" w14:textId="77777777" w:rsidR="000A5E86" w:rsidRDefault="000A5E86" w:rsidP="00F24150">
            <w:pPr>
              <w:spacing w:line="276" w:lineRule="auto"/>
              <w:jc w:val="center"/>
              <w:rPr>
                <w:b/>
                <w:sz w:val="20"/>
                <w:szCs w:val="20"/>
                <w:lang w:eastAsia="en-US"/>
              </w:rPr>
            </w:pPr>
            <w:r>
              <w:rPr>
                <w:b/>
                <w:sz w:val="20"/>
                <w:szCs w:val="20"/>
                <w:lang w:eastAsia="en-US"/>
              </w:rPr>
              <w:t>1.525,00</w:t>
            </w:r>
          </w:p>
        </w:tc>
        <w:tc>
          <w:tcPr>
            <w:tcW w:w="1559" w:type="dxa"/>
            <w:tcBorders>
              <w:top w:val="single" w:sz="4" w:space="0" w:color="auto"/>
              <w:left w:val="single" w:sz="12" w:space="0" w:color="auto"/>
              <w:bottom w:val="single" w:sz="4" w:space="0" w:color="auto"/>
              <w:right w:val="single" w:sz="12" w:space="0" w:color="auto"/>
            </w:tcBorders>
          </w:tcPr>
          <w:p w14:paraId="5EA9012B" w14:textId="77777777" w:rsidR="000A5E86" w:rsidRDefault="000A5E86" w:rsidP="00F24150">
            <w:pPr>
              <w:spacing w:line="276" w:lineRule="auto"/>
              <w:jc w:val="center"/>
              <w:rPr>
                <w:b/>
                <w:sz w:val="20"/>
                <w:szCs w:val="20"/>
                <w:lang w:eastAsia="en-US"/>
              </w:rPr>
            </w:pPr>
            <w:r>
              <w:rPr>
                <w:b/>
                <w:sz w:val="20"/>
                <w:szCs w:val="20"/>
                <w:lang w:eastAsia="en-US"/>
              </w:rPr>
              <w:t>15.250,00</w:t>
            </w:r>
          </w:p>
        </w:tc>
      </w:tr>
      <w:tr w:rsidR="000A5E86" w14:paraId="0954FC74" w14:textId="77777777" w:rsidTr="009565A5">
        <w:trPr>
          <w:trHeight w:val="180"/>
        </w:trPr>
        <w:tc>
          <w:tcPr>
            <w:tcW w:w="8080" w:type="dxa"/>
            <w:gridSpan w:val="6"/>
            <w:tcBorders>
              <w:top w:val="single" w:sz="4" w:space="0" w:color="auto"/>
              <w:left w:val="single" w:sz="12" w:space="0" w:color="auto"/>
              <w:bottom w:val="single" w:sz="4" w:space="0" w:color="auto"/>
              <w:right w:val="single" w:sz="12" w:space="0" w:color="auto"/>
            </w:tcBorders>
          </w:tcPr>
          <w:p w14:paraId="28B6C5C1" w14:textId="77777777" w:rsidR="000A5E86" w:rsidRDefault="000A5E86" w:rsidP="00F24150">
            <w:pPr>
              <w:spacing w:line="276" w:lineRule="auto"/>
              <w:jc w:val="right"/>
              <w:rPr>
                <w:b/>
                <w:sz w:val="20"/>
                <w:szCs w:val="20"/>
                <w:lang w:eastAsia="en-US"/>
              </w:rPr>
            </w:pPr>
            <w:r>
              <w:rPr>
                <w:b/>
                <w:sz w:val="20"/>
                <w:szCs w:val="20"/>
                <w:lang w:eastAsia="en-US"/>
              </w:rPr>
              <w:t>VALOR TOTAL DE ATÉ R$</w:t>
            </w:r>
          </w:p>
        </w:tc>
        <w:tc>
          <w:tcPr>
            <w:tcW w:w="1559" w:type="dxa"/>
            <w:tcBorders>
              <w:top w:val="single" w:sz="4" w:space="0" w:color="auto"/>
              <w:left w:val="single" w:sz="12" w:space="0" w:color="auto"/>
              <w:bottom w:val="single" w:sz="4" w:space="0" w:color="auto"/>
              <w:right w:val="single" w:sz="12" w:space="0" w:color="auto"/>
            </w:tcBorders>
          </w:tcPr>
          <w:p w14:paraId="06CD341D" w14:textId="77777777" w:rsidR="000A5E86" w:rsidRDefault="000A5E86" w:rsidP="00F24150">
            <w:pPr>
              <w:spacing w:line="276" w:lineRule="auto"/>
              <w:jc w:val="right"/>
              <w:rPr>
                <w:b/>
                <w:sz w:val="20"/>
                <w:szCs w:val="20"/>
                <w:lang w:eastAsia="en-US"/>
              </w:rPr>
            </w:pPr>
            <w:r>
              <w:rPr>
                <w:b/>
                <w:sz w:val="20"/>
                <w:szCs w:val="20"/>
                <w:lang w:eastAsia="en-US"/>
              </w:rPr>
              <w:t>304.323,00</w:t>
            </w:r>
          </w:p>
        </w:tc>
      </w:tr>
    </w:tbl>
    <w:p w14:paraId="4358BCA0" w14:textId="259D7741" w:rsidR="00D9358E" w:rsidRPr="000A5E86" w:rsidRDefault="00D9358E" w:rsidP="000A5E86">
      <w:pPr>
        <w:tabs>
          <w:tab w:val="left" w:pos="0"/>
        </w:tabs>
        <w:jc w:val="both"/>
        <w:rPr>
          <w:rFonts w:ascii="Arial Narrow" w:hAnsi="Arial Narrow" w:cs="Arial"/>
          <w:sz w:val="16"/>
          <w:szCs w:val="16"/>
        </w:rPr>
      </w:pPr>
    </w:p>
    <w:p w14:paraId="3E492B6E" w14:textId="77777777" w:rsidR="00D9358E" w:rsidRPr="0084101A" w:rsidRDefault="00D9358E" w:rsidP="00D9358E">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1813E49E" w14:textId="77777777" w:rsidR="00D9358E" w:rsidRPr="0084101A" w:rsidRDefault="00D9358E" w:rsidP="00D9358E">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O pagamento será efetuado em até 1</w:t>
      </w:r>
      <w:r>
        <w:rPr>
          <w:rFonts w:ascii="Arial Narrow" w:hAnsi="Arial Narrow"/>
          <w:b w:val="0"/>
          <w:i w:val="0"/>
          <w:color w:val="auto"/>
          <w:sz w:val="20"/>
          <w:szCs w:val="20"/>
        </w:rPr>
        <w:t>5</w:t>
      </w:r>
      <w:r w:rsidRPr="0084101A">
        <w:rPr>
          <w:rFonts w:ascii="Arial Narrow" w:hAnsi="Arial Narrow"/>
          <w:b w:val="0"/>
          <w:i w:val="0"/>
          <w:color w:val="auto"/>
          <w:sz w:val="20"/>
          <w:szCs w:val="20"/>
        </w:rPr>
        <w:t xml:space="preserve"> dias após </w:t>
      </w:r>
      <w:r>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Pr>
          <w:rFonts w:ascii="Arial Narrow" w:hAnsi="Arial Narrow"/>
          <w:b w:val="0"/>
          <w:i w:val="0"/>
          <w:color w:val="auto"/>
          <w:sz w:val="20"/>
          <w:szCs w:val="20"/>
        </w:rPr>
        <w:t>aceite</w:t>
      </w:r>
      <w:r w:rsidRPr="004D7B65">
        <w:rPr>
          <w:rFonts w:ascii="Arial Narrow" w:hAnsi="Arial Narrow" w:cs="Arial"/>
          <w:sz w:val="22"/>
          <w:szCs w:val="22"/>
        </w:rPr>
        <w:t xml:space="preserve"> </w:t>
      </w:r>
      <w:r w:rsidRPr="004D7B65">
        <w:rPr>
          <w:rFonts w:ascii="Arial Narrow" w:hAnsi="Arial Narrow" w:cs="Arial"/>
          <w:b w:val="0"/>
          <w:bCs w:val="0"/>
          <w:i w:val="0"/>
          <w:iCs w:val="0"/>
          <w:color w:val="auto"/>
          <w:sz w:val="20"/>
          <w:szCs w:val="20"/>
        </w:rPr>
        <w:t>expedido pela Secretaria Municipal requerente</w:t>
      </w:r>
      <w:r w:rsidRPr="00C41673">
        <w:rPr>
          <w:rFonts w:ascii="Arial Narrow" w:hAnsi="Arial Narrow" w:cs="Arial"/>
          <w:sz w:val="22"/>
          <w:szCs w:val="22"/>
        </w:rPr>
        <w:t>.</w:t>
      </w:r>
      <w:r>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4E364A14" w14:textId="19EB8C30" w:rsidR="00D9358E" w:rsidRPr="0084101A" w:rsidRDefault="00D9358E" w:rsidP="00D9358E">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F560BE">
        <w:rPr>
          <w:rFonts w:ascii="Arial Narrow" w:hAnsi="Arial Narrow" w:cs="Arial"/>
          <w:b w:val="0"/>
          <w:i w:val="0"/>
          <w:color w:val="auto"/>
          <w:sz w:val="20"/>
          <w:szCs w:val="20"/>
          <w:u w:val="single"/>
        </w:rPr>
        <w:t>Presencial</w:t>
      </w:r>
      <w:r w:rsidRPr="0084101A">
        <w:rPr>
          <w:rFonts w:ascii="Arial Narrow" w:hAnsi="Arial Narrow" w:cs="Arial"/>
          <w:b w:val="0"/>
          <w:i w:val="0"/>
          <w:color w:val="auto"/>
          <w:sz w:val="20"/>
          <w:szCs w:val="20"/>
          <w:u w:val="single"/>
        </w:rPr>
        <w:t xml:space="preserve"> nº </w:t>
      </w:r>
      <w:r>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216A0A">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216A0A">
        <w:rPr>
          <w:rFonts w:ascii="Arial Narrow" w:hAnsi="Arial Narrow" w:cs="Arial"/>
          <w:b w:val="0"/>
          <w:i w:val="0"/>
          <w:color w:val="auto"/>
          <w:sz w:val="20"/>
          <w:szCs w:val="20"/>
          <w:u w:val="single"/>
        </w:rPr>
        <w:t>3</w:t>
      </w:r>
      <w:r w:rsidRPr="0084101A">
        <w:rPr>
          <w:rFonts w:ascii="Arial Narrow" w:hAnsi="Arial Narrow" w:cs="Arial"/>
          <w:b w:val="0"/>
          <w:i w:val="0"/>
          <w:color w:val="auto"/>
          <w:sz w:val="20"/>
          <w:szCs w:val="20"/>
        </w:rPr>
        <w:t>) e o Nº do Empenho, a fim de se acelerar a liberação do documento fiscal para pagamento.</w:t>
      </w:r>
    </w:p>
    <w:p w14:paraId="13C4C273" w14:textId="283697D0"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w:t>
      </w:r>
      <w:r w:rsidR="000A5E86">
        <w:rPr>
          <w:rFonts w:ascii="Arial Narrow" w:hAnsi="Arial Narrow" w:cs="Arial"/>
          <w:sz w:val="20"/>
          <w:szCs w:val="20"/>
        </w:rPr>
        <w:t xml:space="preserve">os em conta bancária nº 38.801-7, Agência </w:t>
      </w:r>
      <w:proofErr w:type="gramStart"/>
      <w:r w:rsidR="000A5E86">
        <w:rPr>
          <w:rFonts w:ascii="Arial Narrow" w:hAnsi="Arial Narrow" w:cs="Arial"/>
          <w:sz w:val="20"/>
          <w:szCs w:val="20"/>
        </w:rPr>
        <w:t>3037,Sicoob</w:t>
      </w:r>
      <w:proofErr w:type="gramEnd"/>
      <w:r w:rsidR="000A5E86">
        <w:rPr>
          <w:rFonts w:ascii="Arial Narrow" w:hAnsi="Arial Narrow" w:cs="Arial"/>
          <w:sz w:val="20"/>
          <w:szCs w:val="20"/>
        </w:rPr>
        <w:t>.</w:t>
      </w:r>
    </w:p>
    <w:p w14:paraId="7E647FCE" w14:textId="77777777" w:rsidR="00D9358E" w:rsidRDefault="00D9358E" w:rsidP="00D9358E">
      <w:pPr>
        <w:jc w:val="both"/>
        <w:rPr>
          <w:rFonts w:ascii="Arial Narrow" w:hAnsi="Arial Narrow" w:cs="Arial"/>
          <w:b/>
          <w:bCs/>
          <w:snapToGrid w:val="0"/>
          <w:sz w:val="20"/>
          <w:szCs w:val="20"/>
        </w:rPr>
      </w:pPr>
    </w:p>
    <w:p w14:paraId="7087ED5B"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29A9AF13"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6DAE3ED8" w14:textId="77777777" w:rsidR="00D9358E" w:rsidRDefault="00D9358E" w:rsidP="00D9358E">
      <w:pPr>
        <w:jc w:val="both"/>
        <w:rPr>
          <w:rFonts w:ascii="Arial Narrow" w:hAnsi="Arial Narrow" w:cs="Arial"/>
          <w:b/>
          <w:sz w:val="20"/>
          <w:szCs w:val="20"/>
        </w:rPr>
      </w:pPr>
    </w:p>
    <w:p w14:paraId="50ADE798"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3A9A8743"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Pr>
          <w:rFonts w:ascii="Arial Narrow" w:hAnsi="Arial Narrow"/>
          <w:sz w:val="20"/>
          <w:szCs w:val="20"/>
        </w:rPr>
        <w:t>15</w:t>
      </w:r>
      <w:r w:rsidRPr="00594A67">
        <w:rPr>
          <w:rFonts w:ascii="Arial Narrow" w:hAnsi="Arial Narrow"/>
          <w:sz w:val="20"/>
          <w:szCs w:val="20"/>
        </w:rPr>
        <w:t xml:space="preserve"> (</w:t>
      </w:r>
      <w:r>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543F56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2B2A1EA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09E6A2EB" w14:textId="77777777" w:rsidR="00D9358E" w:rsidRPr="00F23B38" w:rsidRDefault="00D9358E" w:rsidP="00D9358E">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7004D853" w14:textId="77777777" w:rsidR="00D9358E" w:rsidRPr="00F759E0" w:rsidRDefault="00D9358E" w:rsidP="00D9358E">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4EBE8E2"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6951DBF9" w14:textId="77777777" w:rsidR="00D9358E" w:rsidRPr="00F759E0" w:rsidRDefault="00D9358E" w:rsidP="00D9358E">
      <w:pPr>
        <w:rPr>
          <w:rFonts w:ascii="Arial Narrow" w:hAnsi="Arial Narrow" w:cs="Arial"/>
          <w:sz w:val="20"/>
          <w:szCs w:val="20"/>
        </w:rPr>
      </w:pPr>
    </w:p>
    <w:p w14:paraId="0470D04E"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76F3E293" w14:textId="77777777" w:rsidR="00D9358E" w:rsidRPr="00C020D2" w:rsidRDefault="00D9358E" w:rsidP="00D9358E">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054821F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3B4C685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7D4B700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lastRenderedPageBreak/>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52158CA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1FC1502A"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562D13E7"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1A616B0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265474F1"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 sobre o valor atualizado do contrato;</w:t>
      </w:r>
    </w:p>
    <w:p w14:paraId="1117034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3AE506A5"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7F3CB198" w14:textId="77777777" w:rsidR="00D9358E" w:rsidRPr="00C020D2" w:rsidRDefault="00D9358E" w:rsidP="00D9358E">
      <w:pPr>
        <w:jc w:val="both"/>
        <w:rPr>
          <w:rFonts w:ascii="Arial Narrow" w:hAnsi="Arial Narrow" w:cs="Arial"/>
          <w:sz w:val="20"/>
          <w:szCs w:val="20"/>
        </w:rPr>
      </w:pPr>
      <w:r w:rsidRPr="00C020D2">
        <w:rPr>
          <w:rFonts w:ascii="Arial Narrow" w:hAnsi="Arial Narrow" w:cs="Arial"/>
          <w:b/>
          <w:sz w:val="20"/>
          <w:szCs w:val="20"/>
        </w:rPr>
        <w:t>7.3.</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56760343" w14:textId="77777777" w:rsidR="00D9358E" w:rsidRPr="006D58CA" w:rsidRDefault="00D9358E" w:rsidP="00D9358E">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086802AD" w14:textId="77777777" w:rsidR="00D9358E" w:rsidRDefault="00D9358E" w:rsidP="00D9358E">
      <w:pPr>
        <w:jc w:val="both"/>
        <w:rPr>
          <w:rFonts w:ascii="Arial Narrow" w:hAnsi="Arial Narrow" w:cs="Arial"/>
          <w:b/>
          <w:iCs/>
          <w:sz w:val="21"/>
          <w:szCs w:val="21"/>
        </w:rPr>
      </w:pPr>
    </w:p>
    <w:p w14:paraId="193B5874" w14:textId="77777777" w:rsidR="00D9358E" w:rsidRPr="00F23B38" w:rsidRDefault="00D9358E" w:rsidP="00D9358E">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14BD170F" w14:textId="77777777" w:rsidR="00D9358E" w:rsidRPr="006F059F" w:rsidRDefault="00D9358E" w:rsidP="00D9358E">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352A67C7" w14:textId="77777777" w:rsidR="00D9358E" w:rsidRPr="00F23B38" w:rsidRDefault="00D9358E" w:rsidP="00D9358E">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36DC0227" w14:textId="77777777" w:rsidR="00D9358E" w:rsidRPr="003A2606" w:rsidRDefault="00D9358E" w:rsidP="00D9358E">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314B693C" w14:textId="77777777" w:rsidR="00D9358E" w:rsidRPr="0084101A" w:rsidRDefault="00D9358E" w:rsidP="00D9358E">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3510FF2F" w14:textId="77777777" w:rsidR="00D9358E" w:rsidRPr="0084101A" w:rsidRDefault="00D9358E" w:rsidP="00D9358E">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735D29AD" w14:textId="77777777" w:rsidR="00D9358E" w:rsidRDefault="00D9358E" w:rsidP="00D9358E">
      <w:pPr>
        <w:jc w:val="both"/>
        <w:rPr>
          <w:rFonts w:ascii="Arial Narrow" w:hAnsi="Arial Narrow" w:cs="Arial"/>
          <w:b/>
          <w:bCs/>
          <w:color w:val="000000"/>
          <w:sz w:val="20"/>
          <w:szCs w:val="20"/>
        </w:rPr>
      </w:pPr>
    </w:p>
    <w:p w14:paraId="5814BF51" w14:textId="77777777" w:rsidR="00D9358E" w:rsidRPr="0084101A" w:rsidRDefault="00D9358E" w:rsidP="00D9358E">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2EFC6E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2533894A"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4526950E"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4310443"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177D77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4369B7E2"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49C02CB9"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6C8083F4"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1953242D" w14:textId="77777777" w:rsidR="00D9358E" w:rsidRPr="0084101A" w:rsidRDefault="00D9358E" w:rsidP="00D9358E">
      <w:pPr>
        <w:ind w:firstLine="1080"/>
        <w:jc w:val="both"/>
        <w:rPr>
          <w:rFonts w:ascii="Arial Narrow" w:hAnsi="Arial Narrow" w:cs="Arial"/>
          <w:b/>
          <w:sz w:val="20"/>
          <w:szCs w:val="20"/>
        </w:rPr>
      </w:pPr>
    </w:p>
    <w:p w14:paraId="259F81A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733CC890"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DE73CA9" w14:textId="77777777" w:rsidR="00D9358E" w:rsidRPr="0084101A" w:rsidRDefault="00D9358E" w:rsidP="00D9358E">
      <w:pPr>
        <w:jc w:val="both"/>
        <w:rPr>
          <w:rFonts w:ascii="Arial Narrow" w:hAnsi="Arial Narrow" w:cs="Arial"/>
          <w:b/>
          <w:sz w:val="20"/>
          <w:szCs w:val="20"/>
        </w:rPr>
      </w:pPr>
    </w:p>
    <w:p w14:paraId="2B0F257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7F1C383D" w14:textId="2E2291E9" w:rsidR="00D9358E" w:rsidRPr="0084101A"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0</w:t>
      </w:r>
      <w:r>
        <w:rPr>
          <w:rFonts w:ascii="Arial Narrow" w:hAnsi="Arial Narrow" w:cs="Arial"/>
          <w:sz w:val="20"/>
          <w:szCs w:val="20"/>
        </w:rPr>
        <w:t>0</w:t>
      </w:r>
      <w:r w:rsidR="00216A0A">
        <w:rPr>
          <w:rFonts w:ascii="Arial Narrow" w:hAnsi="Arial Narrow" w:cs="Arial"/>
          <w:sz w:val="20"/>
          <w:szCs w:val="20"/>
        </w:rPr>
        <w:t>1/2023</w:t>
      </w:r>
      <w:r w:rsidRPr="0084101A">
        <w:rPr>
          <w:rFonts w:ascii="Arial Narrow" w:hAnsi="Arial Narrow" w:cs="Arial"/>
          <w:sz w:val="20"/>
          <w:szCs w:val="20"/>
        </w:rPr>
        <w:t xml:space="preserve"> e seus anexos, juntamente com normas de direito público, resolverão os casos omissos.</w:t>
      </w:r>
    </w:p>
    <w:p w14:paraId="78A67458" w14:textId="77777777" w:rsidR="00D9358E" w:rsidRPr="0084101A" w:rsidRDefault="00D9358E" w:rsidP="00D9358E">
      <w:pPr>
        <w:jc w:val="both"/>
        <w:rPr>
          <w:rFonts w:ascii="Arial Narrow" w:hAnsi="Arial Narrow" w:cs="Arial"/>
          <w:sz w:val="20"/>
          <w:szCs w:val="20"/>
        </w:rPr>
      </w:pPr>
    </w:p>
    <w:p w14:paraId="24CA3B4C" w14:textId="77777777" w:rsidR="00D9358E" w:rsidRPr="0084101A" w:rsidRDefault="00D9358E" w:rsidP="00D9358E">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7D5198AA" w14:textId="5CF49671" w:rsidR="00D9358E" w:rsidRPr="0084101A" w:rsidRDefault="00D9358E" w:rsidP="00D9358E">
      <w:pPr>
        <w:jc w:val="both"/>
        <w:rPr>
          <w:rFonts w:ascii="Arial Narrow" w:hAnsi="Arial Narrow" w:cs="Arial"/>
          <w:b/>
          <w:sz w:val="20"/>
          <w:szCs w:val="20"/>
        </w:rPr>
      </w:pPr>
      <w:r w:rsidRPr="0084101A">
        <w:rPr>
          <w:rFonts w:ascii="Arial Narrow" w:hAnsi="Arial Narrow" w:cs="Arial"/>
          <w:sz w:val="20"/>
          <w:szCs w:val="20"/>
        </w:rPr>
        <w:t xml:space="preserve">Esta Ata fica vinculada ao processo licitatório modalidade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0</w:t>
      </w:r>
      <w:r w:rsidR="00216A0A">
        <w:rPr>
          <w:rFonts w:ascii="Arial Narrow" w:hAnsi="Arial Narrow" w:cs="Arial"/>
          <w:sz w:val="20"/>
          <w:szCs w:val="20"/>
        </w:rPr>
        <w:t>01/2023</w:t>
      </w:r>
      <w:r w:rsidRPr="0084101A">
        <w:rPr>
          <w:rFonts w:ascii="Arial Narrow" w:hAnsi="Arial Narrow" w:cs="Arial"/>
          <w:sz w:val="20"/>
          <w:szCs w:val="20"/>
        </w:rPr>
        <w:t xml:space="preserve"> e seus anexos.</w:t>
      </w:r>
    </w:p>
    <w:p w14:paraId="3E5AAB97" w14:textId="77777777" w:rsidR="00D9358E" w:rsidRPr="0084101A" w:rsidRDefault="00D9358E" w:rsidP="00D9358E">
      <w:pPr>
        <w:jc w:val="both"/>
        <w:rPr>
          <w:rFonts w:ascii="Arial Narrow" w:hAnsi="Arial Narrow" w:cs="Arial"/>
          <w:b/>
          <w:sz w:val="20"/>
          <w:szCs w:val="20"/>
        </w:rPr>
      </w:pPr>
    </w:p>
    <w:p w14:paraId="3775A72F"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379B7C0F" w14:textId="77777777" w:rsidR="00D9358E" w:rsidRPr="0084101A" w:rsidRDefault="00D9358E" w:rsidP="00D9358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62F317F3" w14:textId="77777777" w:rsidR="00D9358E" w:rsidRPr="00F759E0" w:rsidRDefault="00D9358E" w:rsidP="00D9358E">
      <w:pPr>
        <w:jc w:val="both"/>
        <w:rPr>
          <w:rFonts w:ascii="Arial Narrow" w:hAnsi="Arial Narrow"/>
          <w:sz w:val="16"/>
          <w:szCs w:val="16"/>
        </w:rPr>
      </w:pPr>
    </w:p>
    <w:p w14:paraId="22EAB094" w14:textId="77777777" w:rsidR="00D9358E" w:rsidRPr="0084101A" w:rsidRDefault="00D9358E" w:rsidP="00D9358E">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2084D571" w14:textId="77777777" w:rsidR="00D9358E" w:rsidRPr="002C55D3" w:rsidRDefault="00D9358E" w:rsidP="00D9358E">
      <w:pPr>
        <w:jc w:val="both"/>
        <w:rPr>
          <w:rFonts w:ascii="Arial Narrow" w:hAnsi="Arial Narrow" w:cs="Arial"/>
          <w:sz w:val="16"/>
          <w:szCs w:val="16"/>
        </w:rPr>
      </w:pPr>
    </w:p>
    <w:p w14:paraId="22FD01F5" w14:textId="79C66512" w:rsidR="00D9358E" w:rsidRDefault="00AA1E1C"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Pr>
          <w:rFonts w:ascii="Arial Narrow" w:hAnsi="Arial Narrow" w:cs="Arial"/>
          <w:sz w:val="18"/>
          <w:szCs w:val="18"/>
        </w:rPr>
        <w:t xml:space="preserve">Cotiporã/RS, 27 </w:t>
      </w:r>
      <w:proofErr w:type="gramStart"/>
      <w:r>
        <w:rPr>
          <w:rFonts w:ascii="Arial Narrow" w:hAnsi="Arial Narrow" w:cs="Arial"/>
          <w:sz w:val="18"/>
          <w:szCs w:val="18"/>
        </w:rPr>
        <w:t>de  janeiro</w:t>
      </w:r>
      <w:proofErr w:type="gramEnd"/>
      <w:r>
        <w:rPr>
          <w:rFonts w:ascii="Arial Narrow" w:hAnsi="Arial Narrow" w:cs="Arial"/>
          <w:sz w:val="18"/>
          <w:szCs w:val="18"/>
        </w:rPr>
        <w:t xml:space="preserve"> de 2023</w:t>
      </w:r>
    </w:p>
    <w:p w14:paraId="02D7CFA9" w14:textId="2C462B69" w:rsidR="00216A0A" w:rsidRDefault="00216A0A"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AFC2AA6" w14:textId="77777777" w:rsidR="00216A0A" w:rsidRDefault="00216A0A"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6E230FB" w14:textId="77777777" w:rsidR="00D9358E" w:rsidRPr="008D1CC4" w:rsidRDefault="00D9358E" w:rsidP="00D9358E">
      <w:pPr>
        <w:rPr>
          <w:rFonts w:ascii="Arial Narrow" w:hAnsi="Arial Narrow" w:cs="Arial"/>
          <w:color w:val="000000"/>
          <w:sz w:val="18"/>
          <w:szCs w:val="18"/>
        </w:rPr>
      </w:pPr>
    </w:p>
    <w:p w14:paraId="4E7DD62A" w14:textId="178A7F2D" w:rsidR="00D9358E" w:rsidRPr="008D1CC4" w:rsidRDefault="00D9358E" w:rsidP="00D9358E">
      <w:pPr>
        <w:rPr>
          <w:rFonts w:ascii="Arial Narrow" w:hAnsi="Arial Narrow" w:cs="Arial"/>
          <w:sz w:val="18"/>
          <w:szCs w:val="18"/>
        </w:rPr>
      </w:pPr>
      <w:r>
        <w:rPr>
          <w:rFonts w:ascii="Arial Narrow" w:hAnsi="Arial Narrow" w:cs="Arial"/>
          <w:b/>
          <w:sz w:val="18"/>
          <w:szCs w:val="18"/>
        </w:rPr>
        <w:t>IV</w:t>
      </w:r>
      <w:r w:rsidR="000C7423">
        <w:rPr>
          <w:rFonts w:ascii="Arial Narrow" w:hAnsi="Arial Narrow" w:cs="Arial"/>
          <w:b/>
          <w:sz w:val="18"/>
          <w:szCs w:val="18"/>
        </w:rPr>
        <w:t>ELTON MATEUS ZARDO</w:t>
      </w:r>
      <w:r>
        <w:rPr>
          <w:rFonts w:ascii="Arial Narrow" w:hAnsi="Arial Narrow" w:cs="Arial"/>
          <w:b/>
          <w:sz w:val="18"/>
          <w:szCs w:val="18"/>
        </w:rPr>
        <w:tab/>
      </w:r>
      <w:r w:rsidRPr="008D1CC4">
        <w:rPr>
          <w:rFonts w:ascii="Arial Narrow" w:hAnsi="Arial Narrow" w:cs="Arial"/>
          <w:b/>
          <w:sz w:val="18"/>
          <w:szCs w:val="18"/>
        </w:rPr>
        <w:tab/>
      </w:r>
      <w:r w:rsidRPr="008D1CC4">
        <w:rPr>
          <w:rFonts w:ascii="Arial Narrow" w:hAnsi="Arial Narrow" w:cs="Arial"/>
          <w:sz w:val="18"/>
          <w:szCs w:val="18"/>
        </w:rPr>
        <w:t xml:space="preserve">                 </w:t>
      </w:r>
      <w:r w:rsidR="000A5E86">
        <w:rPr>
          <w:rFonts w:ascii="Arial Narrow" w:hAnsi="Arial Narrow" w:cs="Arial"/>
          <w:sz w:val="18"/>
          <w:szCs w:val="18"/>
        </w:rPr>
        <w:t xml:space="preserve">                                   </w:t>
      </w:r>
      <w:r w:rsidR="000A5E86">
        <w:rPr>
          <w:rFonts w:ascii="Arial Narrow" w:hAnsi="Arial Narrow" w:cs="Arial"/>
          <w:b/>
          <w:color w:val="000000"/>
          <w:sz w:val="20"/>
          <w:szCs w:val="20"/>
        </w:rPr>
        <w:t>VERLIN TECNOLOGIA DA INFORMAÇÃO LTDA</w:t>
      </w:r>
    </w:p>
    <w:p w14:paraId="4C8DDFF3" w14:textId="59CBE086" w:rsidR="00D9358E" w:rsidRPr="008D1CC4" w:rsidRDefault="00D9358E" w:rsidP="00D9358E">
      <w:pPr>
        <w:rPr>
          <w:rFonts w:ascii="Arial Narrow" w:hAnsi="Arial Narrow" w:cs="Arial"/>
          <w:sz w:val="18"/>
          <w:szCs w:val="18"/>
        </w:rPr>
      </w:pPr>
      <w:r w:rsidRPr="008D1CC4">
        <w:rPr>
          <w:rFonts w:ascii="Arial Narrow" w:hAnsi="Arial Narrow" w:cs="Arial"/>
          <w:sz w:val="18"/>
          <w:szCs w:val="18"/>
        </w:rPr>
        <w:t xml:space="preserve">Prefeito </w:t>
      </w:r>
      <w:r w:rsidR="000C7423">
        <w:rPr>
          <w:rFonts w:ascii="Arial Narrow" w:hAnsi="Arial Narrow" w:cs="Arial"/>
          <w:sz w:val="18"/>
          <w:szCs w:val="18"/>
        </w:rPr>
        <w:t xml:space="preserve">De Cotiporã </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79D54D2F" w14:textId="77777777" w:rsidR="00D9358E" w:rsidRDefault="00D9358E" w:rsidP="00D9358E">
      <w:pPr>
        <w:ind w:right="27" w:firstLine="2127"/>
        <w:rPr>
          <w:rFonts w:ascii="Arial Narrow" w:hAnsi="Arial Narrow" w:cs="Arial"/>
          <w:sz w:val="16"/>
          <w:szCs w:val="16"/>
          <w:u w:val="single"/>
        </w:rPr>
      </w:pPr>
    </w:p>
    <w:p w14:paraId="06FEF119" w14:textId="77777777" w:rsidR="00D9358E" w:rsidRDefault="00D9358E" w:rsidP="00D9358E">
      <w:pPr>
        <w:ind w:right="27" w:firstLine="2127"/>
        <w:rPr>
          <w:rFonts w:ascii="Arial Narrow" w:hAnsi="Arial Narrow" w:cs="Arial"/>
          <w:sz w:val="16"/>
          <w:szCs w:val="16"/>
          <w:u w:val="single"/>
        </w:rPr>
      </w:pPr>
    </w:p>
    <w:p w14:paraId="7D740AA5" w14:textId="77777777" w:rsidR="00D9358E" w:rsidRDefault="00D9358E" w:rsidP="00D9358E">
      <w:pPr>
        <w:ind w:right="27" w:firstLine="2127"/>
        <w:rPr>
          <w:rFonts w:ascii="Arial Narrow" w:hAnsi="Arial Narrow" w:cs="Arial"/>
          <w:sz w:val="16"/>
          <w:szCs w:val="16"/>
          <w:u w:val="single"/>
        </w:rPr>
      </w:pPr>
    </w:p>
    <w:p w14:paraId="67C94F7B" w14:textId="4B2064DD" w:rsidR="00D9358E" w:rsidRDefault="00D9358E" w:rsidP="00D9358E">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34CA5FE8" w14:textId="52CE1727" w:rsidR="00AA1E1C" w:rsidRDefault="00AA1E1C" w:rsidP="00D9358E">
      <w:pPr>
        <w:tabs>
          <w:tab w:val="left" w:pos="4253"/>
        </w:tabs>
        <w:ind w:right="27"/>
        <w:rPr>
          <w:rFonts w:ascii="Arial Narrow" w:hAnsi="Arial Narrow" w:cs="Arial"/>
          <w:sz w:val="20"/>
          <w:szCs w:val="20"/>
        </w:rPr>
      </w:pPr>
    </w:p>
    <w:p w14:paraId="475B2522" w14:textId="77777777" w:rsidR="00AA1E1C" w:rsidRPr="00937210" w:rsidRDefault="00AA1E1C" w:rsidP="00D9358E">
      <w:pPr>
        <w:tabs>
          <w:tab w:val="left" w:pos="4253"/>
        </w:tabs>
        <w:ind w:right="27"/>
        <w:rPr>
          <w:rFonts w:ascii="Arial Narrow" w:hAnsi="Arial Narrow" w:cs="Arial"/>
          <w:sz w:val="20"/>
          <w:szCs w:val="20"/>
        </w:rPr>
      </w:pPr>
    </w:p>
    <w:p w14:paraId="30FAFF1F" w14:textId="77777777" w:rsidR="00D9358E" w:rsidRDefault="00D9358E" w:rsidP="00D9358E">
      <w:pPr>
        <w:ind w:right="3855"/>
        <w:jc w:val="center"/>
        <w:rPr>
          <w:rFonts w:ascii="Arial Narrow" w:hAnsi="Arial Narrow" w:cs="Arial"/>
          <w:sz w:val="20"/>
          <w:szCs w:val="20"/>
        </w:rPr>
      </w:pPr>
    </w:p>
    <w:p w14:paraId="281A0F25" w14:textId="77777777" w:rsidR="00D9358E" w:rsidRPr="00937210" w:rsidRDefault="00D9358E" w:rsidP="00D9358E">
      <w:pPr>
        <w:ind w:right="3855"/>
        <w:jc w:val="center"/>
        <w:rPr>
          <w:rFonts w:ascii="Arial Narrow" w:hAnsi="Arial Narrow" w:cs="Arial"/>
          <w:sz w:val="20"/>
          <w:szCs w:val="20"/>
        </w:rPr>
      </w:pPr>
    </w:p>
    <w:p w14:paraId="78FEDED8" w14:textId="4B664AED" w:rsidR="00216A0A" w:rsidRDefault="00216A0A" w:rsidP="00216A0A">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sidR="00D9358E">
        <w:rPr>
          <w:rFonts w:ascii="Arial Narrow" w:hAnsi="Arial Narrow" w:cs="Arial"/>
          <w:b/>
          <w:sz w:val="20"/>
          <w:szCs w:val="20"/>
        </w:rPr>
        <w:tab/>
      </w:r>
      <w:r w:rsidR="00AA1E1C">
        <w:rPr>
          <w:rFonts w:ascii="Arial Narrow" w:hAnsi="Arial Narrow" w:cs="Arial"/>
          <w:b/>
          <w:sz w:val="20"/>
          <w:szCs w:val="20"/>
        </w:rPr>
        <w:t xml:space="preserve">Alana </w:t>
      </w:r>
      <w:proofErr w:type="spellStart"/>
      <w:r w:rsidR="00AA1E1C">
        <w:rPr>
          <w:rFonts w:ascii="Arial Narrow" w:hAnsi="Arial Narrow" w:cs="Arial"/>
          <w:b/>
          <w:sz w:val="20"/>
          <w:szCs w:val="20"/>
        </w:rPr>
        <w:t>Bortoncello</w:t>
      </w:r>
      <w:proofErr w:type="spellEnd"/>
      <w:r w:rsidR="00AA1E1C">
        <w:rPr>
          <w:rFonts w:ascii="Arial Narrow" w:hAnsi="Arial Narrow" w:cs="Arial"/>
          <w:b/>
          <w:sz w:val="20"/>
          <w:szCs w:val="20"/>
        </w:rPr>
        <w:t xml:space="preserve"> </w:t>
      </w:r>
      <w:proofErr w:type="spellStart"/>
      <w:r w:rsidR="00AA1E1C">
        <w:rPr>
          <w:rFonts w:ascii="Arial Narrow" w:hAnsi="Arial Narrow" w:cs="Arial"/>
          <w:b/>
          <w:sz w:val="20"/>
          <w:szCs w:val="20"/>
        </w:rPr>
        <w:t>Paludo</w:t>
      </w:r>
      <w:proofErr w:type="spellEnd"/>
      <w:r>
        <w:rPr>
          <w:rFonts w:ascii="Arial Narrow" w:hAnsi="Arial Narrow" w:cs="Arial"/>
          <w:b/>
          <w:sz w:val="20"/>
          <w:szCs w:val="20"/>
        </w:rPr>
        <w:tab/>
      </w:r>
      <w:r>
        <w:rPr>
          <w:rFonts w:ascii="Arial Narrow" w:hAnsi="Arial Narrow" w:cs="Arial"/>
          <w:b/>
          <w:sz w:val="20"/>
          <w:szCs w:val="20"/>
        </w:rPr>
        <w:tab/>
        <w:t xml:space="preserve">       Joana Inês </w:t>
      </w:r>
      <w:proofErr w:type="spellStart"/>
      <w:r>
        <w:rPr>
          <w:rFonts w:ascii="Arial Narrow" w:hAnsi="Arial Narrow" w:cs="Arial"/>
          <w:b/>
          <w:sz w:val="20"/>
          <w:szCs w:val="20"/>
        </w:rPr>
        <w:t>Citolin</w:t>
      </w:r>
      <w:proofErr w:type="spellEnd"/>
    </w:p>
    <w:p w14:paraId="1555DEF4" w14:textId="645C1922" w:rsidR="00D9358E" w:rsidRPr="00A26B40" w:rsidRDefault="00216A0A" w:rsidP="00216A0A">
      <w:pPr>
        <w:tabs>
          <w:tab w:val="left" w:pos="4253"/>
        </w:tabs>
        <w:rPr>
          <w:rFonts w:ascii="Arial Narrow" w:hAnsi="Arial Narrow" w:cs="Arial"/>
          <w:b/>
          <w:sz w:val="20"/>
          <w:szCs w:val="20"/>
        </w:rPr>
      </w:pPr>
      <w:r>
        <w:rPr>
          <w:rFonts w:ascii="Arial Narrow" w:hAnsi="Arial Narrow" w:cs="Arial"/>
          <w:b/>
          <w:sz w:val="20"/>
          <w:szCs w:val="20"/>
        </w:rPr>
        <w:t xml:space="preserve">    </w:t>
      </w:r>
      <w:r>
        <w:rPr>
          <w:rFonts w:ascii="Arial Narrow" w:hAnsi="Arial Narrow" w:cs="Arial"/>
          <w:sz w:val="18"/>
          <w:szCs w:val="18"/>
        </w:rPr>
        <w:t xml:space="preserve">      </w:t>
      </w:r>
      <w:r w:rsidRPr="00216A0A">
        <w:rPr>
          <w:rFonts w:ascii="Arial Narrow" w:hAnsi="Arial Narrow" w:cs="Arial"/>
          <w:b/>
          <w:sz w:val="18"/>
          <w:szCs w:val="18"/>
        </w:rPr>
        <w:t>De Cotiporã</w:t>
      </w:r>
      <w:r>
        <w:rPr>
          <w:rFonts w:ascii="Arial Narrow" w:hAnsi="Arial Narrow" w:cs="Arial"/>
          <w:sz w:val="18"/>
          <w:szCs w:val="18"/>
        </w:rPr>
        <w:t xml:space="preserve">                                                                         </w:t>
      </w:r>
      <w:r w:rsidR="00D9358E">
        <w:rPr>
          <w:rFonts w:ascii="Arial Narrow" w:hAnsi="Arial Narrow" w:cs="Arial"/>
          <w:sz w:val="18"/>
          <w:szCs w:val="18"/>
        </w:rPr>
        <w:t xml:space="preserve">CPF/MF nº </w:t>
      </w:r>
      <w:r w:rsidR="00AA1E1C">
        <w:rPr>
          <w:rFonts w:ascii="Arial Narrow" w:hAnsi="Arial Narrow" w:cs="Arial"/>
          <w:sz w:val="18"/>
          <w:szCs w:val="18"/>
        </w:rPr>
        <w:t>022.164.380-06</w:t>
      </w:r>
      <w:r w:rsidR="00D9358E">
        <w:rPr>
          <w:rFonts w:ascii="Arial Narrow" w:hAnsi="Arial Narrow" w:cs="Arial"/>
          <w:sz w:val="18"/>
          <w:szCs w:val="18"/>
        </w:rPr>
        <w:tab/>
        <w:t xml:space="preserve">   </w:t>
      </w:r>
      <w:r w:rsidR="00AA1E1C">
        <w:rPr>
          <w:rFonts w:ascii="Arial Narrow" w:hAnsi="Arial Narrow" w:cs="Arial"/>
          <w:sz w:val="18"/>
          <w:szCs w:val="18"/>
        </w:rPr>
        <w:t xml:space="preserve">                 </w:t>
      </w:r>
      <w:bookmarkStart w:id="0" w:name="_GoBack"/>
      <w:bookmarkEnd w:id="0"/>
      <w:r w:rsidR="00D9358E">
        <w:rPr>
          <w:rFonts w:ascii="Arial Narrow" w:hAnsi="Arial Narrow" w:cs="Arial"/>
          <w:sz w:val="18"/>
          <w:szCs w:val="18"/>
        </w:rPr>
        <w:t xml:space="preserve">     CPF/MF nº 018.029.630-22</w:t>
      </w:r>
    </w:p>
    <w:p w14:paraId="4BDB2766" w14:textId="318364BF" w:rsidR="00D44228" w:rsidRDefault="00D44228" w:rsidP="00565657">
      <w:pPr>
        <w:jc w:val="both"/>
        <w:rPr>
          <w:rFonts w:ascii="Arial Narrow" w:hAnsi="Arial Narrow" w:cs="Arial"/>
          <w:sz w:val="18"/>
          <w:szCs w:val="18"/>
        </w:rPr>
      </w:pPr>
    </w:p>
    <w:p w14:paraId="4CA316B7" w14:textId="27AB5A47" w:rsidR="00D44228" w:rsidRDefault="00D44228" w:rsidP="00565657">
      <w:pPr>
        <w:jc w:val="both"/>
        <w:rPr>
          <w:rFonts w:ascii="Arial Narrow" w:hAnsi="Arial Narrow" w:cs="Arial"/>
          <w:sz w:val="18"/>
          <w:szCs w:val="18"/>
        </w:rPr>
      </w:pPr>
    </w:p>
    <w:p w14:paraId="5E87BB15" w14:textId="77777777" w:rsidR="00E30F99" w:rsidRDefault="00E30F99" w:rsidP="00E30F99">
      <w:pPr>
        <w:jc w:val="both"/>
        <w:rPr>
          <w:rFonts w:ascii="Arial Narrow" w:hAnsi="Arial Narrow" w:cs="Arial"/>
          <w:sz w:val="18"/>
          <w:szCs w:val="18"/>
        </w:rPr>
      </w:pPr>
    </w:p>
    <w:p w14:paraId="1820F4FD" w14:textId="77777777" w:rsidR="00E30F99" w:rsidRDefault="00E30F99" w:rsidP="00E30F99">
      <w:pPr>
        <w:jc w:val="both"/>
        <w:rPr>
          <w:rFonts w:ascii="Arial Narrow" w:hAnsi="Arial Narrow" w:cs="Arial"/>
          <w:sz w:val="18"/>
          <w:szCs w:val="18"/>
        </w:rPr>
      </w:pPr>
    </w:p>
    <w:sectPr w:rsidR="00E30F99"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5A053" w14:textId="77777777" w:rsidR="00C72ACE" w:rsidRDefault="00C72ACE" w:rsidP="00965D67">
      <w:r>
        <w:separator/>
      </w:r>
    </w:p>
  </w:endnote>
  <w:endnote w:type="continuationSeparator" w:id="0">
    <w:p w14:paraId="2F8ACD15" w14:textId="77777777" w:rsidR="00C72ACE" w:rsidRDefault="00C72AC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000"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ED2B" w14:textId="77777777" w:rsidR="005A7711" w:rsidRPr="00362E0E" w:rsidRDefault="005A7711"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5A7711" w:rsidRPr="00362E0E" w:rsidRDefault="00C72ACE" w:rsidP="00965D67">
    <w:pPr>
      <w:pStyle w:val="Rodap"/>
      <w:jc w:val="center"/>
      <w:rPr>
        <w:rFonts w:ascii="Arial Narrow" w:hAnsi="Arial Narrow" w:cs="Miriam Fixed"/>
        <w:sz w:val="18"/>
        <w:szCs w:val="18"/>
        <w:lang w:val="en-US"/>
      </w:rPr>
    </w:pPr>
    <w:hyperlink r:id="rId1" w:history="1">
      <w:r w:rsidR="005A7711" w:rsidRPr="00880C37">
        <w:rPr>
          <w:rStyle w:val="Hyperlink"/>
          <w:rFonts w:ascii="Arial Narrow" w:hAnsi="Arial Narrow" w:cs="Miriam Fixed"/>
          <w:sz w:val="18"/>
          <w:szCs w:val="18"/>
          <w:lang w:val="en-US"/>
        </w:rPr>
        <w:t>www.cotipora.rs.gov.br</w:t>
      </w:r>
    </w:hyperlink>
    <w:r w:rsidR="005A7711">
      <w:rPr>
        <w:rFonts w:ascii="Arial Narrow" w:hAnsi="Arial Narrow" w:cs="Miriam Fixed"/>
        <w:sz w:val="18"/>
        <w:szCs w:val="18"/>
        <w:lang w:val="en-US"/>
      </w:rPr>
      <w:t xml:space="preserve"> </w:t>
    </w:r>
    <w:r w:rsidR="005A7711" w:rsidRPr="00362E0E">
      <w:rPr>
        <w:rFonts w:ascii="Arial Narrow" w:hAnsi="Arial Narrow" w:cs="Miriam Fixed"/>
        <w:sz w:val="18"/>
        <w:szCs w:val="18"/>
        <w:lang w:val="en-US"/>
      </w:rPr>
      <w:t xml:space="preserve"> - CEP: 95.335-000 – COTIPORÃ/RS</w:t>
    </w:r>
    <w:r w:rsidR="005A7711">
      <w:rPr>
        <w:rFonts w:ascii="Arial Narrow" w:hAnsi="Arial Narrow" w:cs="Miriam Fixed"/>
        <w:sz w:val="18"/>
        <w:szCs w:val="18"/>
        <w:lang w:val="en-US"/>
      </w:rPr>
      <w:t>.</w:t>
    </w:r>
  </w:p>
  <w:p w14:paraId="7463AF43" w14:textId="77777777" w:rsidR="005A7711" w:rsidRPr="0067203A" w:rsidRDefault="005A77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4D980" w14:textId="77777777" w:rsidR="00C72ACE" w:rsidRDefault="00C72ACE" w:rsidP="00965D67">
      <w:r>
        <w:separator/>
      </w:r>
    </w:p>
  </w:footnote>
  <w:footnote w:type="continuationSeparator" w:id="0">
    <w:p w14:paraId="2F0C6ADC" w14:textId="77777777" w:rsidR="00C72ACE" w:rsidRDefault="00C72AC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1612" w14:textId="77777777" w:rsidR="005A7711" w:rsidRPr="0084175A" w:rsidRDefault="005A7711" w:rsidP="005C02A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235D33" wp14:editId="36BB2AE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5A7711" w:rsidRPr="005C02A0" w:rsidRDefault="005A7711" w:rsidP="005C02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0720"/>
    <w:rsid w:val="00010C00"/>
    <w:rsid w:val="00012655"/>
    <w:rsid w:val="00012E8D"/>
    <w:rsid w:val="00015BA9"/>
    <w:rsid w:val="0002753B"/>
    <w:rsid w:val="000308F5"/>
    <w:rsid w:val="0003367E"/>
    <w:rsid w:val="00034AE6"/>
    <w:rsid w:val="000376AD"/>
    <w:rsid w:val="000420BB"/>
    <w:rsid w:val="00042173"/>
    <w:rsid w:val="000434F2"/>
    <w:rsid w:val="00043F17"/>
    <w:rsid w:val="00045323"/>
    <w:rsid w:val="0005343A"/>
    <w:rsid w:val="0007191A"/>
    <w:rsid w:val="0007513A"/>
    <w:rsid w:val="0007559C"/>
    <w:rsid w:val="00076F43"/>
    <w:rsid w:val="00080B64"/>
    <w:rsid w:val="0008465D"/>
    <w:rsid w:val="00091820"/>
    <w:rsid w:val="000943EE"/>
    <w:rsid w:val="00096B72"/>
    <w:rsid w:val="000A0F17"/>
    <w:rsid w:val="000A5E86"/>
    <w:rsid w:val="000A7517"/>
    <w:rsid w:val="000B7642"/>
    <w:rsid w:val="000C1A37"/>
    <w:rsid w:val="000C50F7"/>
    <w:rsid w:val="000C68A2"/>
    <w:rsid w:val="000C7423"/>
    <w:rsid w:val="000C78C7"/>
    <w:rsid w:val="000D2671"/>
    <w:rsid w:val="000E6004"/>
    <w:rsid w:val="00110CFA"/>
    <w:rsid w:val="001110C3"/>
    <w:rsid w:val="00111B31"/>
    <w:rsid w:val="00122FA4"/>
    <w:rsid w:val="00123A9B"/>
    <w:rsid w:val="00123BD0"/>
    <w:rsid w:val="0012624A"/>
    <w:rsid w:val="00134260"/>
    <w:rsid w:val="001352F4"/>
    <w:rsid w:val="00146F4F"/>
    <w:rsid w:val="00160C45"/>
    <w:rsid w:val="00175043"/>
    <w:rsid w:val="00176E74"/>
    <w:rsid w:val="00180F2F"/>
    <w:rsid w:val="001842FB"/>
    <w:rsid w:val="001871DA"/>
    <w:rsid w:val="0019010D"/>
    <w:rsid w:val="0019230E"/>
    <w:rsid w:val="001A2B52"/>
    <w:rsid w:val="001A5C3E"/>
    <w:rsid w:val="001B77F3"/>
    <w:rsid w:val="001C4E03"/>
    <w:rsid w:val="001C6398"/>
    <w:rsid w:val="001C732F"/>
    <w:rsid w:val="001D3705"/>
    <w:rsid w:val="001D4354"/>
    <w:rsid w:val="001D79DF"/>
    <w:rsid w:val="001E1672"/>
    <w:rsid w:val="001E3E2F"/>
    <w:rsid w:val="001E6B52"/>
    <w:rsid w:val="001F204B"/>
    <w:rsid w:val="00212F53"/>
    <w:rsid w:val="00216A0A"/>
    <w:rsid w:val="002219BB"/>
    <w:rsid w:val="002233F5"/>
    <w:rsid w:val="0023218B"/>
    <w:rsid w:val="002327E9"/>
    <w:rsid w:val="00236A20"/>
    <w:rsid w:val="00236EE8"/>
    <w:rsid w:val="00242A87"/>
    <w:rsid w:val="00246EE7"/>
    <w:rsid w:val="002534A7"/>
    <w:rsid w:val="00261B06"/>
    <w:rsid w:val="00262171"/>
    <w:rsid w:val="00262769"/>
    <w:rsid w:val="00266530"/>
    <w:rsid w:val="00271B76"/>
    <w:rsid w:val="002728A9"/>
    <w:rsid w:val="00275974"/>
    <w:rsid w:val="00275DF6"/>
    <w:rsid w:val="00281459"/>
    <w:rsid w:val="00281598"/>
    <w:rsid w:val="00281F70"/>
    <w:rsid w:val="00287A37"/>
    <w:rsid w:val="00290A50"/>
    <w:rsid w:val="0029536D"/>
    <w:rsid w:val="002A0159"/>
    <w:rsid w:val="002A1C13"/>
    <w:rsid w:val="002A2994"/>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F1861"/>
    <w:rsid w:val="002F399D"/>
    <w:rsid w:val="002F622E"/>
    <w:rsid w:val="00300A1B"/>
    <w:rsid w:val="0030340E"/>
    <w:rsid w:val="003053F4"/>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421E"/>
    <w:rsid w:val="00395380"/>
    <w:rsid w:val="003A075A"/>
    <w:rsid w:val="003A2606"/>
    <w:rsid w:val="003A4DFD"/>
    <w:rsid w:val="003A5F1A"/>
    <w:rsid w:val="003B1E24"/>
    <w:rsid w:val="003C15C7"/>
    <w:rsid w:val="003C2A24"/>
    <w:rsid w:val="003C34AD"/>
    <w:rsid w:val="003C4477"/>
    <w:rsid w:val="003C7E7B"/>
    <w:rsid w:val="003D005B"/>
    <w:rsid w:val="003E35CD"/>
    <w:rsid w:val="003E5B9A"/>
    <w:rsid w:val="003F43FD"/>
    <w:rsid w:val="00405D61"/>
    <w:rsid w:val="004124A8"/>
    <w:rsid w:val="00413F73"/>
    <w:rsid w:val="004267F6"/>
    <w:rsid w:val="00427C55"/>
    <w:rsid w:val="00431ED4"/>
    <w:rsid w:val="004327C9"/>
    <w:rsid w:val="00432890"/>
    <w:rsid w:val="004344E2"/>
    <w:rsid w:val="004402C0"/>
    <w:rsid w:val="004428D8"/>
    <w:rsid w:val="004438C6"/>
    <w:rsid w:val="00447C23"/>
    <w:rsid w:val="00454C29"/>
    <w:rsid w:val="00463365"/>
    <w:rsid w:val="00481881"/>
    <w:rsid w:val="00483BA1"/>
    <w:rsid w:val="00495027"/>
    <w:rsid w:val="0049605C"/>
    <w:rsid w:val="004A07D7"/>
    <w:rsid w:val="004A0CAB"/>
    <w:rsid w:val="004A22AE"/>
    <w:rsid w:val="004A7B0C"/>
    <w:rsid w:val="004B0B4A"/>
    <w:rsid w:val="004B3EBB"/>
    <w:rsid w:val="004B4ECB"/>
    <w:rsid w:val="004C2409"/>
    <w:rsid w:val="004D2D3D"/>
    <w:rsid w:val="004D46F5"/>
    <w:rsid w:val="004D4704"/>
    <w:rsid w:val="004E14B4"/>
    <w:rsid w:val="004E3C14"/>
    <w:rsid w:val="004E5497"/>
    <w:rsid w:val="004E7368"/>
    <w:rsid w:val="004F29C9"/>
    <w:rsid w:val="004F3DCE"/>
    <w:rsid w:val="005025C8"/>
    <w:rsid w:val="005037EA"/>
    <w:rsid w:val="00513183"/>
    <w:rsid w:val="00515F79"/>
    <w:rsid w:val="00535013"/>
    <w:rsid w:val="00536469"/>
    <w:rsid w:val="00547023"/>
    <w:rsid w:val="005572B4"/>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A7711"/>
    <w:rsid w:val="005B18FB"/>
    <w:rsid w:val="005B3C12"/>
    <w:rsid w:val="005B4E2E"/>
    <w:rsid w:val="005C02A0"/>
    <w:rsid w:val="005C2E0D"/>
    <w:rsid w:val="005C62F1"/>
    <w:rsid w:val="005C659F"/>
    <w:rsid w:val="005D5842"/>
    <w:rsid w:val="005E1223"/>
    <w:rsid w:val="005F3DDD"/>
    <w:rsid w:val="005F57A0"/>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75B8"/>
    <w:rsid w:val="00640269"/>
    <w:rsid w:val="00645899"/>
    <w:rsid w:val="0065043D"/>
    <w:rsid w:val="0065531D"/>
    <w:rsid w:val="006600AB"/>
    <w:rsid w:val="00662227"/>
    <w:rsid w:val="00667B93"/>
    <w:rsid w:val="00671A7D"/>
    <w:rsid w:val="0067203A"/>
    <w:rsid w:val="0067264C"/>
    <w:rsid w:val="00673FFD"/>
    <w:rsid w:val="00681B98"/>
    <w:rsid w:val="00683832"/>
    <w:rsid w:val="00685040"/>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20F24"/>
    <w:rsid w:val="00724907"/>
    <w:rsid w:val="007304F6"/>
    <w:rsid w:val="007316EB"/>
    <w:rsid w:val="00744891"/>
    <w:rsid w:val="00747B68"/>
    <w:rsid w:val="00750A06"/>
    <w:rsid w:val="00755024"/>
    <w:rsid w:val="00755273"/>
    <w:rsid w:val="0076026B"/>
    <w:rsid w:val="00765B88"/>
    <w:rsid w:val="007702FD"/>
    <w:rsid w:val="00774A0A"/>
    <w:rsid w:val="007759FF"/>
    <w:rsid w:val="00782586"/>
    <w:rsid w:val="007A149D"/>
    <w:rsid w:val="007A2AA2"/>
    <w:rsid w:val="007B16D2"/>
    <w:rsid w:val="007B5CA4"/>
    <w:rsid w:val="007B78C9"/>
    <w:rsid w:val="007C1E85"/>
    <w:rsid w:val="007C5C27"/>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50A4"/>
    <w:rsid w:val="008271A7"/>
    <w:rsid w:val="008343FF"/>
    <w:rsid w:val="0084175A"/>
    <w:rsid w:val="0084240E"/>
    <w:rsid w:val="00844C26"/>
    <w:rsid w:val="00864DF3"/>
    <w:rsid w:val="00865DC0"/>
    <w:rsid w:val="00866E18"/>
    <w:rsid w:val="00872032"/>
    <w:rsid w:val="00872CD6"/>
    <w:rsid w:val="00884B0B"/>
    <w:rsid w:val="008901B0"/>
    <w:rsid w:val="008904B9"/>
    <w:rsid w:val="00890A65"/>
    <w:rsid w:val="00892162"/>
    <w:rsid w:val="008931A3"/>
    <w:rsid w:val="00895A08"/>
    <w:rsid w:val="008A3404"/>
    <w:rsid w:val="008B2892"/>
    <w:rsid w:val="008B383E"/>
    <w:rsid w:val="008C6534"/>
    <w:rsid w:val="008C7EA0"/>
    <w:rsid w:val="008D379A"/>
    <w:rsid w:val="008E0BB0"/>
    <w:rsid w:val="008E2B98"/>
    <w:rsid w:val="008E7B83"/>
    <w:rsid w:val="0090031D"/>
    <w:rsid w:val="0090523A"/>
    <w:rsid w:val="00910E16"/>
    <w:rsid w:val="00911283"/>
    <w:rsid w:val="00922302"/>
    <w:rsid w:val="00924AE9"/>
    <w:rsid w:val="00926385"/>
    <w:rsid w:val="00931FE4"/>
    <w:rsid w:val="00934585"/>
    <w:rsid w:val="00934B3D"/>
    <w:rsid w:val="00934D58"/>
    <w:rsid w:val="00937210"/>
    <w:rsid w:val="00937630"/>
    <w:rsid w:val="00945ADB"/>
    <w:rsid w:val="009509FD"/>
    <w:rsid w:val="00954478"/>
    <w:rsid w:val="0095584C"/>
    <w:rsid w:val="009565A5"/>
    <w:rsid w:val="00963F1B"/>
    <w:rsid w:val="00965D67"/>
    <w:rsid w:val="009667B3"/>
    <w:rsid w:val="009668B5"/>
    <w:rsid w:val="009676BA"/>
    <w:rsid w:val="0097055E"/>
    <w:rsid w:val="00972D14"/>
    <w:rsid w:val="00975398"/>
    <w:rsid w:val="00976D42"/>
    <w:rsid w:val="00976F45"/>
    <w:rsid w:val="0099160A"/>
    <w:rsid w:val="00994FB8"/>
    <w:rsid w:val="00995A21"/>
    <w:rsid w:val="009A0241"/>
    <w:rsid w:val="009A0F49"/>
    <w:rsid w:val="009A5614"/>
    <w:rsid w:val="009A5EEB"/>
    <w:rsid w:val="009B733D"/>
    <w:rsid w:val="009C08CA"/>
    <w:rsid w:val="009C1B34"/>
    <w:rsid w:val="009C46A6"/>
    <w:rsid w:val="009C4933"/>
    <w:rsid w:val="009D21F9"/>
    <w:rsid w:val="009D63DF"/>
    <w:rsid w:val="009E1E8D"/>
    <w:rsid w:val="009E54EF"/>
    <w:rsid w:val="009E5F24"/>
    <w:rsid w:val="009F25C8"/>
    <w:rsid w:val="009F7F21"/>
    <w:rsid w:val="00A0226F"/>
    <w:rsid w:val="00A2079B"/>
    <w:rsid w:val="00A21009"/>
    <w:rsid w:val="00A2200C"/>
    <w:rsid w:val="00A2617B"/>
    <w:rsid w:val="00A32287"/>
    <w:rsid w:val="00A327AE"/>
    <w:rsid w:val="00A425CA"/>
    <w:rsid w:val="00A475D4"/>
    <w:rsid w:val="00A61FBF"/>
    <w:rsid w:val="00A62D2C"/>
    <w:rsid w:val="00A67624"/>
    <w:rsid w:val="00A6790E"/>
    <w:rsid w:val="00A67E42"/>
    <w:rsid w:val="00A712F2"/>
    <w:rsid w:val="00A80AA5"/>
    <w:rsid w:val="00A83DC1"/>
    <w:rsid w:val="00A96511"/>
    <w:rsid w:val="00A97FF1"/>
    <w:rsid w:val="00AA080B"/>
    <w:rsid w:val="00AA1E1C"/>
    <w:rsid w:val="00AA2216"/>
    <w:rsid w:val="00AA26B7"/>
    <w:rsid w:val="00AC0A6F"/>
    <w:rsid w:val="00AC5D9C"/>
    <w:rsid w:val="00AD02A2"/>
    <w:rsid w:val="00AD02AC"/>
    <w:rsid w:val="00AD4B3E"/>
    <w:rsid w:val="00AE3F7D"/>
    <w:rsid w:val="00AE5B45"/>
    <w:rsid w:val="00AF0106"/>
    <w:rsid w:val="00AF1FD5"/>
    <w:rsid w:val="00AF233A"/>
    <w:rsid w:val="00B05264"/>
    <w:rsid w:val="00B22E07"/>
    <w:rsid w:val="00B31957"/>
    <w:rsid w:val="00B34C9F"/>
    <w:rsid w:val="00B41713"/>
    <w:rsid w:val="00B51EE9"/>
    <w:rsid w:val="00B53058"/>
    <w:rsid w:val="00B6114E"/>
    <w:rsid w:val="00B66B0C"/>
    <w:rsid w:val="00B674D0"/>
    <w:rsid w:val="00B77BA5"/>
    <w:rsid w:val="00B8224E"/>
    <w:rsid w:val="00B95397"/>
    <w:rsid w:val="00BA3A10"/>
    <w:rsid w:val="00BA42EB"/>
    <w:rsid w:val="00BA4D8B"/>
    <w:rsid w:val="00BA5F2B"/>
    <w:rsid w:val="00BA6DDA"/>
    <w:rsid w:val="00BB1139"/>
    <w:rsid w:val="00BB2B8B"/>
    <w:rsid w:val="00BC0289"/>
    <w:rsid w:val="00BC0664"/>
    <w:rsid w:val="00BC60DA"/>
    <w:rsid w:val="00BC7778"/>
    <w:rsid w:val="00BD17F7"/>
    <w:rsid w:val="00BE2273"/>
    <w:rsid w:val="00BE296B"/>
    <w:rsid w:val="00BE3A36"/>
    <w:rsid w:val="00BE3D92"/>
    <w:rsid w:val="00BE6599"/>
    <w:rsid w:val="00BE7E51"/>
    <w:rsid w:val="00BF41E0"/>
    <w:rsid w:val="00BF551F"/>
    <w:rsid w:val="00BF674D"/>
    <w:rsid w:val="00C0710D"/>
    <w:rsid w:val="00C125C2"/>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ACE"/>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39CA"/>
    <w:rsid w:val="00CF56E7"/>
    <w:rsid w:val="00CF5A76"/>
    <w:rsid w:val="00CF5D63"/>
    <w:rsid w:val="00CF66D9"/>
    <w:rsid w:val="00CF6DCA"/>
    <w:rsid w:val="00D012E1"/>
    <w:rsid w:val="00D2141F"/>
    <w:rsid w:val="00D27175"/>
    <w:rsid w:val="00D31B52"/>
    <w:rsid w:val="00D31BB7"/>
    <w:rsid w:val="00D3536C"/>
    <w:rsid w:val="00D40096"/>
    <w:rsid w:val="00D42A3A"/>
    <w:rsid w:val="00D42CCF"/>
    <w:rsid w:val="00D44228"/>
    <w:rsid w:val="00D53A4E"/>
    <w:rsid w:val="00D54297"/>
    <w:rsid w:val="00D60516"/>
    <w:rsid w:val="00D633DA"/>
    <w:rsid w:val="00D70BBF"/>
    <w:rsid w:val="00D71648"/>
    <w:rsid w:val="00D72A11"/>
    <w:rsid w:val="00D73DBB"/>
    <w:rsid w:val="00D8017F"/>
    <w:rsid w:val="00D83288"/>
    <w:rsid w:val="00D843AE"/>
    <w:rsid w:val="00D92BD1"/>
    <w:rsid w:val="00D92C95"/>
    <w:rsid w:val="00D9358E"/>
    <w:rsid w:val="00D9362D"/>
    <w:rsid w:val="00DA31D8"/>
    <w:rsid w:val="00DA6DDF"/>
    <w:rsid w:val="00DB46B9"/>
    <w:rsid w:val="00DB500F"/>
    <w:rsid w:val="00DB7607"/>
    <w:rsid w:val="00DD3087"/>
    <w:rsid w:val="00DD7BE6"/>
    <w:rsid w:val="00DE0CAF"/>
    <w:rsid w:val="00DE3FBF"/>
    <w:rsid w:val="00DE71C0"/>
    <w:rsid w:val="00DF1A26"/>
    <w:rsid w:val="00DF26D7"/>
    <w:rsid w:val="00DF5D51"/>
    <w:rsid w:val="00E05EF8"/>
    <w:rsid w:val="00E0725F"/>
    <w:rsid w:val="00E303BD"/>
    <w:rsid w:val="00E30F99"/>
    <w:rsid w:val="00E41813"/>
    <w:rsid w:val="00E4361A"/>
    <w:rsid w:val="00E47045"/>
    <w:rsid w:val="00E53BDF"/>
    <w:rsid w:val="00E54327"/>
    <w:rsid w:val="00E573BB"/>
    <w:rsid w:val="00E735D4"/>
    <w:rsid w:val="00E828F6"/>
    <w:rsid w:val="00E87B5D"/>
    <w:rsid w:val="00E90362"/>
    <w:rsid w:val="00E97726"/>
    <w:rsid w:val="00E97873"/>
    <w:rsid w:val="00EA2AFD"/>
    <w:rsid w:val="00EA47C6"/>
    <w:rsid w:val="00EB35A0"/>
    <w:rsid w:val="00EB4952"/>
    <w:rsid w:val="00EB5883"/>
    <w:rsid w:val="00EC0872"/>
    <w:rsid w:val="00EC330F"/>
    <w:rsid w:val="00ED26AD"/>
    <w:rsid w:val="00ED2C38"/>
    <w:rsid w:val="00EE0994"/>
    <w:rsid w:val="00EE13CD"/>
    <w:rsid w:val="00EE70D4"/>
    <w:rsid w:val="00EF7C6C"/>
    <w:rsid w:val="00F008D9"/>
    <w:rsid w:val="00F02C83"/>
    <w:rsid w:val="00F05823"/>
    <w:rsid w:val="00F06260"/>
    <w:rsid w:val="00F072E4"/>
    <w:rsid w:val="00F11804"/>
    <w:rsid w:val="00F1251D"/>
    <w:rsid w:val="00F251DB"/>
    <w:rsid w:val="00F25922"/>
    <w:rsid w:val="00F26DF1"/>
    <w:rsid w:val="00F35E24"/>
    <w:rsid w:val="00F40A0C"/>
    <w:rsid w:val="00F430BF"/>
    <w:rsid w:val="00F47611"/>
    <w:rsid w:val="00F47D7A"/>
    <w:rsid w:val="00F51217"/>
    <w:rsid w:val="00F53929"/>
    <w:rsid w:val="00F560BE"/>
    <w:rsid w:val="00F56BF9"/>
    <w:rsid w:val="00F60398"/>
    <w:rsid w:val="00F60D17"/>
    <w:rsid w:val="00F61A60"/>
    <w:rsid w:val="00F6350A"/>
    <w:rsid w:val="00F672C1"/>
    <w:rsid w:val="00F7520E"/>
    <w:rsid w:val="00F80B16"/>
    <w:rsid w:val="00F864C9"/>
    <w:rsid w:val="00F91D5A"/>
    <w:rsid w:val="00F94047"/>
    <w:rsid w:val="00F94D20"/>
    <w:rsid w:val="00F975C9"/>
    <w:rsid w:val="00FB0A60"/>
    <w:rsid w:val="00FB1E27"/>
    <w:rsid w:val="00FC1552"/>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vel2">
    <w:name w:val="Nível 2"/>
    <w:basedOn w:val="Normal"/>
    <w:next w:val="Normal"/>
    <w:rsid w:val="00463365"/>
    <w:pPr>
      <w:spacing w:after="120"/>
      <w:jc w:val="both"/>
    </w:pPr>
    <w:rPr>
      <w:rFonts w:ascii="Arial" w:hAnsi="Arial"/>
      <w:b/>
      <w:szCs w:val="20"/>
    </w:rPr>
  </w:style>
  <w:style w:type="paragraph" w:styleId="SemEspaamento">
    <w:name w:val="No Spacing"/>
    <w:uiPriority w:val="1"/>
    <w:qFormat/>
    <w:rsid w:val="00E30F99"/>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018B-0848-48AC-9979-03034FD0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2850</TotalTime>
  <Pages>20</Pages>
  <Words>5153</Words>
  <Characters>27831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318</cp:revision>
  <cp:lastPrinted>2023-01-27T13:02:00Z</cp:lastPrinted>
  <dcterms:created xsi:type="dcterms:W3CDTF">2015-01-20T10:04:00Z</dcterms:created>
  <dcterms:modified xsi:type="dcterms:W3CDTF">2023-01-27T13:02:00Z</dcterms:modified>
</cp:coreProperties>
</file>