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908C7" w14:textId="33C8D53D" w:rsidR="00802D9C" w:rsidRPr="00CE4CA8" w:rsidRDefault="00802D9C" w:rsidP="003F1157">
      <w:pPr>
        <w:jc w:val="center"/>
        <w:rPr>
          <w:b/>
          <w:sz w:val="20"/>
          <w:szCs w:val="20"/>
        </w:rPr>
      </w:pPr>
      <w:r w:rsidRPr="00CE4CA8">
        <w:rPr>
          <w:b/>
          <w:sz w:val="20"/>
          <w:szCs w:val="20"/>
        </w:rPr>
        <w:t>H O M O L O G A Ç Ã O</w:t>
      </w:r>
      <w:r w:rsidR="009A75A5">
        <w:rPr>
          <w:b/>
          <w:sz w:val="20"/>
          <w:szCs w:val="20"/>
        </w:rPr>
        <w:t xml:space="preserve">    E    A D J U D I C A Ç Ã O</w:t>
      </w:r>
    </w:p>
    <w:p w14:paraId="27729C27" w14:textId="77777777" w:rsidR="00802D9C" w:rsidRPr="00CE4CA8" w:rsidRDefault="00802D9C" w:rsidP="004E1851">
      <w:pPr>
        <w:rPr>
          <w:b/>
          <w:sz w:val="20"/>
          <w:szCs w:val="20"/>
        </w:rPr>
      </w:pPr>
    </w:p>
    <w:p w14:paraId="72DD402F" w14:textId="5CBD621E" w:rsidR="00802D9C" w:rsidRPr="00CE4CA8" w:rsidRDefault="00802D9C" w:rsidP="00130366">
      <w:pPr>
        <w:pStyle w:val="Ttulo"/>
        <w:jc w:val="both"/>
        <w:rPr>
          <w:b w:val="0"/>
          <w:sz w:val="20"/>
          <w:u w:val="single"/>
        </w:rPr>
      </w:pPr>
      <w:r w:rsidRPr="00CE4CA8">
        <w:rPr>
          <w:b w:val="0"/>
          <w:sz w:val="20"/>
          <w:u w:val="single"/>
        </w:rPr>
        <w:t xml:space="preserve">PREGÃO PRESENCIAL Nº </w:t>
      </w:r>
      <w:r w:rsidR="00387851">
        <w:rPr>
          <w:b w:val="0"/>
          <w:sz w:val="20"/>
          <w:u w:val="single"/>
        </w:rPr>
        <w:t>0</w:t>
      </w:r>
      <w:r w:rsidR="00F22D86">
        <w:rPr>
          <w:b w:val="0"/>
          <w:sz w:val="20"/>
          <w:u w:val="single"/>
        </w:rPr>
        <w:t>49</w:t>
      </w:r>
      <w:r w:rsidR="00387851">
        <w:rPr>
          <w:b w:val="0"/>
          <w:sz w:val="20"/>
          <w:u w:val="single"/>
        </w:rPr>
        <w:t>/2025</w:t>
      </w:r>
    </w:p>
    <w:p w14:paraId="2CF437DF" w14:textId="6884917B" w:rsidR="00802D9C" w:rsidRPr="00CE4CA8" w:rsidRDefault="00802D9C" w:rsidP="00130366">
      <w:pPr>
        <w:pStyle w:val="Ttulo"/>
        <w:jc w:val="both"/>
        <w:rPr>
          <w:b w:val="0"/>
          <w:sz w:val="20"/>
        </w:rPr>
      </w:pPr>
    </w:p>
    <w:p w14:paraId="301035F6" w14:textId="50E98A02" w:rsidR="00802D9C" w:rsidRPr="00CE4CA8" w:rsidRDefault="00802D9C" w:rsidP="00130366">
      <w:pPr>
        <w:pStyle w:val="Ttulo"/>
        <w:jc w:val="both"/>
        <w:rPr>
          <w:b w:val="0"/>
          <w:sz w:val="20"/>
        </w:rPr>
      </w:pPr>
      <w:r w:rsidRPr="00CE4CA8">
        <w:rPr>
          <w:b w:val="0"/>
          <w:sz w:val="20"/>
        </w:rPr>
        <w:t xml:space="preserve">Protocolo Administrativo nº </w:t>
      </w:r>
      <w:r w:rsidR="00F22D86">
        <w:rPr>
          <w:b w:val="0"/>
          <w:sz w:val="20"/>
        </w:rPr>
        <w:t>779/2025</w:t>
      </w:r>
    </w:p>
    <w:p w14:paraId="78F2F0EF" w14:textId="77777777" w:rsidR="00802D9C" w:rsidRPr="00CE4CA8" w:rsidRDefault="00802D9C" w:rsidP="00130366">
      <w:pPr>
        <w:pStyle w:val="Ttulo"/>
        <w:jc w:val="both"/>
        <w:rPr>
          <w:b w:val="0"/>
          <w:sz w:val="20"/>
          <w:u w:val="single"/>
        </w:rPr>
      </w:pPr>
    </w:p>
    <w:p w14:paraId="1B120779" w14:textId="0AC8C9C5" w:rsidR="00802D9C" w:rsidRPr="00387851" w:rsidRDefault="00802D9C" w:rsidP="00130366">
      <w:pPr>
        <w:jc w:val="both"/>
        <w:rPr>
          <w:b/>
          <w:bCs/>
          <w:sz w:val="20"/>
          <w:szCs w:val="20"/>
        </w:rPr>
      </w:pPr>
      <w:r w:rsidRPr="00CE4CA8">
        <w:rPr>
          <w:sz w:val="20"/>
          <w:szCs w:val="20"/>
          <w:u w:val="single"/>
        </w:rPr>
        <w:t>Objeto</w:t>
      </w:r>
      <w:r w:rsidRPr="00CE4CA8">
        <w:rPr>
          <w:sz w:val="20"/>
          <w:szCs w:val="20"/>
        </w:rPr>
        <w:t xml:space="preserve">: </w:t>
      </w:r>
      <w:r w:rsidR="00F22D86" w:rsidRPr="00F22D86">
        <w:rPr>
          <w:bCs/>
          <w:color w:val="000000"/>
          <w:sz w:val="18"/>
          <w:szCs w:val="18"/>
        </w:rPr>
        <w:t xml:space="preserve">REGISTRO DE PREÇOS </w:t>
      </w:r>
      <w:r w:rsidR="00F22D86" w:rsidRPr="00F22D86">
        <w:rPr>
          <w:bCs/>
          <w:sz w:val="18"/>
          <w:szCs w:val="18"/>
        </w:rPr>
        <w:t>PARA FUTURAS E EVENTUAIS CONTRATAÇÕES DE EMPRESAS ESPECIALIZADAS PARA A PRESTAÇÃO DE SERVIÇOS GERAIS</w:t>
      </w:r>
      <w:r w:rsidR="00F22D86" w:rsidRPr="00F22D86">
        <w:rPr>
          <w:sz w:val="18"/>
          <w:szCs w:val="18"/>
        </w:rPr>
        <w:t>, INCLUINDO PINTOR, MARCENEIRO, FUNILEIRO, SERRALHEIRO, PEDREIRO, ENCANADOR E CARPINTEIRO, SEM DEDICAÇÃO EXCLUSIVA DE MÃO DE OBRA, DESTINADOS À REALIZAÇÃO DE PEQUENOS REPAROS, MANUTENÇÃO E CONSERVAÇÃO DE PRÉDIOS E BENS PÚBLICOS DO MUNICÍPIO DE COTIPORÃ</w:t>
      </w:r>
    </w:p>
    <w:p w14:paraId="1DB5702C" w14:textId="77777777" w:rsidR="00802D9C" w:rsidRPr="00CE4CA8" w:rsidRDefault="00802D9C" w:rsidP="00130366">
      <w:pPr>
        <w:tabs>
          <w:tab w:val="left" w:pos="0"/>
        </w:tabs>
        <w:jc w:val="both"/>
        <w:rPr>
          <w:b/>
          <w:sz w:val="20"/>
          <w:szCs w:val="20"/>
        </w:rPr>
      </w:pPr>
    </w:p>
    <w:p w14:paraId="549CF8D6" w14:textId="77D81FFF" w:rsidR="00802D9C" w:rsidRPr="00AE66E6" w:rsidRDefault="00802D9C" w:rsidP="00130366">
      <w:pPr>
        <w:spacing w:after="120"/>
        <w:ind w:right="55"/>
        <w:jc w:val="both"/>
        <w:rPr>
          <w:vanish/>
          <w:sz w:val="20"/>
          <w:szCs w:val="20"/>
          <w:specVanish/>
        </w:rPr>
      </w:pPr>
      <w:r w:rsidRPr="00CE4CA8">
        <w:rPr>
          <w:sz w:val="20"/>
          <w:szCs w:val="20"/>
        </w:rPr>
        <w:t xml:space="preserve">Em ata </w:t>
      </w:r>
      <w:r w:rsidR="009B0C86" w:rsidRPr="00CE4CA8">
        <w:rPr>
          <w:sz w:val="20"/>
          <w:szCs w:val="20"/>
        </w:rPr>
        <w:t>datada de</w:t>
      </w:r>
      <w:r w:rsidR="00AE66E6">
        <w:rPr>
          <w:sz w:val="20"/>
          <w:szCs w:val="20"/>
        </w:rPr>
        <w:t xml:space="preserve"> 1</w:t>
      </w:r>
      <w:r w:rsidR="00F22D86">
        <w:rPr>
          <w:sz w:val="20"/>
          <w:szCs w:val="20"/>
        </w:rPr>
        <w:t>8/11/2025</w:t>
      </w:r>
      <w:r w:rsidRPr="00CE4CA8">
        <w:rPr>
          <w:sz w:val="20"/>
          <w:szCs w:val="20"/>
        </w:rPr>
        <w:t xml:space="preserve">, </w:t>
      </w:r>
      <w:r w:rsidR="00B2442A" w:rsidRPr="00CE4CA8">
        <w:rPr>
          <w:sz w:val="20"/>
          <w:szCs w:val="20"/>
        </w:rPr>
        <w:t xml:space="preserve">a Equipe de </w:t>
      </w:r>
      <w:r w:rsidR="00AE66E6">
        <w:rPr>
          <w:sz w:val="20"/>
          <w:szCs w:val="20"/>
        </w:rPr>
        <w:t xml:space="preserve">Licitações nº 12.134/2025, </w:t>
      </w:r>
      <w:r w:rsidRPr="00CE4CA8">
        <w:rPr>
          <w:sz w:val="20"/>
          <w:szCs w:val="20"/>
        </w:rPr>
        <w:t xml:space="preserve">procedera a realização da sessão referente ao Pregão Presencial de nº </w:t>
      </w:r>
      <w:r w:rsidR="00AE66E6">
        <w:rPr>
          <w:sz w:val="20"/>
          <w:szCs w:val="20"/>
        </w:rPr>
        <w:t>0</w:t>
      </w:r>
      <w:r w:rsidR="00F22D86">
        <w:rPr>
          <w:sz w:val="20"/>
          <w:szCs w:val="20"/>
        </w:rPr>
        <w:t>49</w:t>
      </w:r>
      <w:r w:rsidR="00AE66E6">
        <w:rPr>
          <w:sz w:val="20"/>
          <w:szCs w:val="20"/>
        </w:rPr>
        <w:t>/2025</w:t>
      </w:r>
      <w:r w:rsidRPr="00CE4CA8">
        <w:rPr>
          <w:sz w:val="20"/>
          <w:szCs w:val="20"/>
        </w:rPr>
        <w:t>, concluindo pela classificação da proposta e habilitação da licitante.</w:t>
      </w:r>
    </w:p>
    <w:p w14:paraId="25031411" w14:textId="78161FE3" w:rsidR="009B0C86" w:rsidRPr="00CE4CA8" w:rsidRDefault="00AE66E6" w:rsidP="00130366">
      <w:pPr>
        <w:ind w:right="57"/>
        <w:jc w:val="both"/>
        <w:rPr>
          <w:sz w:val="20"/>
          <w:szCs w:val="20"/>
        </w:rPr>
      </w:pPr>
      <w:r>
        <w:rPr>
          <w:sz w:val="20"/>
          <w:szCs w:val="20"/>
        </w:rPr>
        <w:t xml:space="preserve"> </w:t>
      </w:r>
      <w:r w:rsidR="00802D9C" w:rsidRPr="00CE4CA8">
        <w:rPr>
          <w:sz w:val="20"/>
          <w:szCs w:val="20"/>
        </w:rPr>
        <w:t xml:space="preserve">Diante do que dispõe </w:t>
      </w:r>
      <w:r w:rsidR="00B2442A" w:rsidRPr="00CE4CA8">
        <w:rPr>
          <w:sz w:val="20"/>
          <w:szCs w:val="20"/>
        </w:rPr>
        <w:t>a L</w:t>
      </w:r>
      <w:r w:rsidR="00802D9C" w:rsidRPr="00CE4CA8">
        <w:rPr>
          <w:sz w:val="20"/>
          <w:szCs w:val="20"/>
        </w:rPr>
        <w:t xml:space="preserve">ei Federal nº </w:t>
      </w:r>
      <w:r w:rsidR="00B2442A" w:rsidRPr="00CE4CA8">
        <w:rPr>
          <w:sz w:val="20"/>
          <w:szCs w:val="20"/>
        </w:rPr>
        <w:t>14.133/2021</w:t>
      </w:r>
      <w:r w:rsidR="00802D9C" w:rsidRPr="00CE4CA8">
        <w:rPr>
          <w:sz w:val="20"/>
          <w:szCs w:val="20"/>
        </w:rPr>
        <w:t xml:space="preserve"> e de acordo com o Edital, </w:t>
      </w:r>
      <w:proofErr w:type="gramStart"/>
      <w:r w:rsidR="00802D9C" w:rsidRPr="00CE4CA8">
        <w:rPr>
          <w:sz w:val="20"/>
          <w:szCs w:val="20"/>
        </w:rPr>
        <w:t>considerando  o</w:t>
      </w:r>
      <w:proofErr w:type="gramEnd"/>
      <w:r w:rsidR="00802D9C" w:rsidRPr="00CE4CA8">
        <w:rPr>
          <w:sz w:val="20"/>
          <w:szCs w:val="20"/>
        </w:rPr>
        <w:t xml:space="preserve"> Parecer da Assessoria Jurídica do Município, </w:t>
      </w:r>
      <w:r w:rsidR="00802D9C" w:rsidRPr="00CE4CA8">
        <w:rPr>
          <w:b/>
          <w:sz w:val="20"/>
          <w:szCs w:val="20"/>
        </w:rPr>
        <w:t>HOMOLOGO</w:t>
      </w:r>
      <w:r w:rsidR="00802D9C" w:rsidRPr="00CE4CA8">
        <w:rPr>
          <w:sz w:val="20"/>
          <w:szCs w:val="20"/>
        </w:rPr>
        <w:t xml:space="preserve"> a classificação final e </w:t>
      </w:r>
      <w:r w:rsidR="00802D9C" w:rsidRPr="00CE4CA8">
        <w:rPr>
          <w:b/>
          <w:sz w:val="20"/>
          <w:szCs w:val="20"/>
        </w:rPr>
        <w:t>ADJUDICO</w:t>
      </w:r>
      <w:r w:rsidR="00802D9C" w:rsidRPr="00CE4CA8">
        <w:rPr>
          <w:sz w:val="20"/>
          <w:szCs w:val="20"/>
        </w:rPr>
        <w:t xml:space="preserve"> o objeto do presente certame considerando vencedora</w:t>
      </w:r>
      <w:r w:rsidR="00F22D86">
        <w:rPr>
          <w:sz w:val="20"/>
          <w:szCs w:val="20"/>
        </w:rPr>
        <w:t>s</w:t>
      </w:r>
      <w:r w:rsidR="00802D9C" w:rsidRPr="00CE4CA8">
        <w:rPr>
          <w:sz w:val="20"/>
          <w:szCs w:val="20"/>
        </w:rPr>
        <w:t xml:space="preserve"> a</w:t>
      </w:r>
      <w:r w:rsidR="00F22D86">
        <w:rPr>
          <w:sz w:val="20"/>
          <w:szCs w:val="20"/>
        </w:rPr>
        <w:t>s</w:t>
      </w:r>
      <w:r w:rsidR="00802D9C" w:rsidRPr="00CE4CA8">
        <w:rPr>
          <w:sz w:val="20"/>
          <w:szCs w:val="20"/>
        </w:rPr>
        <w:t xml:space="preserve"> licitante</w:t>
      </w:r>
      <w:r w:rsidR="00F22D86">
        <w:rPr>
          <w:sz w:val="20"/>
          <w:szCs w:val="20"/>
        </w:rPr>
        <w:t>s</w:t>
      </w:r>
      <w:r w:rsidR="00802D9C" w:rsidRPr="00CE4CA8">
        <w:rPr>
          <w:sz w:val="20"/>
          <w:szCs w:val="20"/>
        </w:rPr>
        <w:t xml:space="preserve"> a seguir, nos itens e valores conforme segue:</w:t>
      </w:r>
      <w:r w:rsidR="004A07C1" w:rsidRPr="00CE4CA8">
        <w:rPr>
          <w:sz w:val="20"/>
          <w:szCs w:val="20"/>
        </w:rPr>
        <w:t xml:space="preserve">              </w:t>
      </w:r>
    </w:p>
    <w:p w14:paraId="39BF6F90" w14:textId="77777777" w:rsidR="00130366" w:rsidRPr="00BE7749" w:rsidRDefault="00130366" w:rsidP="00130366">
      <w:pPr>
        <w:ind w:right="57"/>
        <w:jc w:val="both"/>
        <w:rPr>
          <w:sz w:val="20"/>
          <w:szCs w:val="20"/>
        </w:rPr>
      </w:pPr>
    </w:p>
    <w:tbl>
      <w:tblPr>
        <w:tblW w:w="9639"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709"/>
        <w:gridCol w:w="1094"/>
        <w:gridCol w:w="4292"/>
        <w:gridCol w:w="1418"/>
        <w:gridCol w:w="1552"/>
        <w:gridCol w:w="7"/>
      </w:tblGrid>
      <w:tr w:rsidR="00F22D86" w:rsidRPr="00F22D86" w14:paraId="1283DB1A" w14:textId="77777777" w:rsidTr="0030510D">
        <w:trPr>
          <w:gridAfter w:val="1"/>
          <w:wAfter w:w="7" w:type="dxa"/>
          <w:cantSplit/>
          <w:trHeight w:val="229"/>
        </w:trPr>
        <w:tc>
          <w:tcPr>
            <w:tcW w:w="9632" w:type="dxa"/>
            <w:gridSpan w:val="6"/>
            <w:tcBorders>
              <w:top w:val="single" w:sz="12" w:space="0" w:color="auto"/>
              <w:left w:val="single" w:sz="12" w:space="0" w:color="auto"/>
              <w:bottom w:val="single" w:sz="12" w:space="0" w:color="auto"/>
              <w:right w:val="single" w:sz="12" w:space="0" w:color="auto"/>
            </w:tcBorders>
          </w:tcPr>
          <w:p w14:paraId="229D95AD" w14:textId="77777777" w:rsidR="00F22D86" w:rsidRPr="00F22D86" w:rsidRDefault="00F22D86" w:rsidP="0030510D">
            <w:pPr>
              <w:spacing w:after="200" w:line="276" w:lineRule="auto"/>
              <w:jc w:val="center"/>
              <w:rPr>
                <w:b/>
                <w:bCs/>
                <w:sz w:val="20"/>
                <w:szCs w:val="20"/>
              </w:rPr>
            </w:pPr>
            <w:r w:rsidRPr="00F22D86">
              <w:rPr>
                <w:b/>
                <w:bCs/>
                <w:sz w:val="20"/>
                <w:szCs w:val="20"/>
              </w:rPr>
              <w:t>CONSTRUTORA IDB LTDA CNPJ Nº 21.961.275/0001-61</w:t>
            </w:r>
          </w:p>
        </w:tc>
      </w:tr>
      <w:tr w:rsidR="00F22D86" w:rsidRPr="00F22D86" w14:paraId="7FC58E7B" w14:textId="77777777" w:rsidTr="0030510D">
        <w:trPr>
          <w:gridAfter w:val="1"/>
          <w:wAfter w:w="7" w:type="dxa"/>
          <w:cantSplit/>
          <w:trHeight w:val="229"/>
        </w:trPr>
        <w:tc>
          <w:tcPr>
            <w:tcW w:w="567" w:type="dxa"/>
            <w:vMerge w:val="restart"/>
            <w:tcBorders>
              <w:top w:val="single" w:sz="12" w:space="0" w:color="auto"/>
              <w:left w:val="single" w:sz="12" w:space="0" w:color="auto"/>
              <w:bottom w:val="single" w:sz="12" w:space="0" w:color="auto"/>
              <w:right w:val="single" w:sz="12" w:space="0" w:color="auto"/>
            </w:tcBorders>
          </w:tcPr>
          <w:p w14:paraId="67793256" w14:textId="77777777" w:rsidR="00F22D86" w:rsidRPr="00F22D86" w:rsidRDefault="00F22D86" w:rsidP="0030510D">
            <w:pPr>
              <w:pStyle w:val="Cabealho"/>
              <w:tabs>
                <w:tab w:val="left" w:pos="708"/>
              </w:tabs>
              <w:jc w:val="center"/>
              <w:rPr>
                <w:rFonts w:ascii="Times New Roman" w:hAnsi="Times New Roman" w:cs="Times New Roman"/>
                <w:b/>
                <w:sz w:val="20"/>
                <w:szCs w:val="20"/>
              </w:rPr>
            </w:pPr>
            <w:r w:rsidRPr="00F22D86">
              <w:rPr>
                <w:rFonts w:ascii="Times New Roman" w:hAnsi="Times New Roman" w:cs="Times New Roman"/>
                <w:b/>
                <w:sz w:val="20"/>
                <w:szCs w:val="20"/>
              </w:rPr>
              <w:t>ITEM</w:t>
            </w:r>
          </w:p>
        </w:tc>
        <w:tc>
          <w:tcPr>
            <w:tcW w:w="709" w:type="dxa"/>
            <w:vMerge w:val="restart"/>
            <w:tcBorders>
              <w:top w:val="single" w:sz="12" w:space="0" w:color="auto"/>
              <w:left w:val="single" w:sz="12" w:space="0" w:color="auto"/>
              <w:bottom w:val="single" w:sz="12" w:space="0" w:color="auto"/>
              <w:right w:val="single" w:sz="12" w:space="0" w:color="auto"/>
            </w:tcBorders>
          </w:tcPr>
          <w:p w14:paraId="2F8CE86E" w14:textId="77777777" w:rsidR="00F22D86" w:rsidRPr="00F22D86" w:rsidRDefault="00F22D86" w:rsidP="0030510D">
            <w:pPr>
              <w:jc w:val="center"/>
              <w:rPr>
                <w:b/>
                <w:sz w:val="20"/>
                <w:szCs w:val="20"/>
              </w:rPr>
            </w:pPr>
            <w:r w:rsidRPr="00F22D86">
              <w:rPr>
                <w:b/>
                <w:sz w:val="20"/>
                <w:szCs w:val="20"/>
              </w:rPr>
              <w:t>UN</w:t>
            </w:r>
          </w:p>
        </w:tc>
        <w:tc>
          <w:tcPr>
            <w:tcW w:w="1094" w:type="dxa"/>
            <w:vMerge w:val="restart"/>
            <w:tcBorders>
              <w:top w:val="single" w:sz="12" w:space="0" w:color="auto"/>
              <w:left w:val="single" w:sz="12" w:space="0" w:color="auto"/>
              <w:bottom w:val="single" w:sz="12" w:space="0" w:color="auto"/>
              <w:right w:val="single" w:sz="12" w:space="0" w:color="auto"/>
            </w:tcBorders>
          </w:tcPr>
          <w:p w14:paraId="4BBD9FF9" w14:textId="77777777" w:rsidR="00F22D86" w:rsidRPr="00F22D86" w:rsidRDefault="00F22D86" w:rsidP="0030510D">
            <w:pPr>
              <w:ind w:right="-37"/>
              <w:jc w:val="center"/>
              <w:rPr>
                <w:b/>
                <w:sz w:val="20"/>
                <w:szCs w:val="20"/>
              </w:rPr>
            </w:pPr>
            <w:r w:rsidRPr="00F22D86">
              <w:rPr>
                <w:b/>
                <w:sz w:val="20"/>
                <w:szCs w:val="20"/>
              </w:rPr>
              <w:t>QUANT. ESTIMADA</w:t>
            </w:r>
          </w:p>
        </w:tc>
        <w:tc>
          <w:tcPr>
            <w:tcW w:w="4292" w:type="dxa"/>
            <w:tcBorders>
              <w:top w:val="single" w:sz="12" w:space="0" w:color="auto"/>
              <w:left w:val="single" w:sz="12" w:space="0" w:color="auto"/>
              <w:bottom w:val="single" w:sz="12" w:space="0" w:color="auto"/>
              <w:right w:val="single" w:sz="12" w:space="0" w:color="auto"/>
            </w:tcBorders>
          </w:tcPr>
          <w:p w14:paraId="44AEEF65" w14:textId="77777777" w:rsidR="00F22D86" w:rsidRPr="00F22D86" w:rsidRDefault="00F22D86" w:rsidP="0030510D">
            <w:pPr>
              <w:jc w:val="center"/>
              <w:rPr>
                <w:b/>
                <w:sz w:val="20"/>
                <w:szCs w:val="20"/>
              </w:rPr>
            </w:pPr>
            <w:r w:rsidRPr="00F22D86">
              <w:rPr>
                <w:b/>
                <w:sz w:val="20"/>
                <w:szCs w:val="20"/>
              </w:rPr>
              <w:t xml:space="preserve">DESCRIÇÃO </w:t>
            </w:r>
          </w:p>
        </w:tc>
        <w:tc>
          <w:tcPr>
            <w:tcW w:w="2970" w:type="dxa"/>
            <w:gridSpan w:val="2"/>
            <w:tcBorders>
              <w:top w:val="single" w:sz="12" w:space="0" w:color="auto"/>
              <w:bottom w:val="single" w:sz="12" w:space="0" w:color="auto"/>
              <w:right w:val="single" w:sz="12" w:space="0" w:color="auto"/>
            </w:tcBorders>
          </w:tcPr>
          <w:p w14:paraId="0622CAAA" w14:textId="77777777" w:rsidR="00F22D86" w:rsidRPr="00F22D86" w:rsidRDefault="00F22D86" w:rsidP="0030510D">
            <w:pPr>
              <w:spacing w:after="200" w:line="276" w:lineRule="auto"/>
              <w:jc w:val="center"/>
              <w:rPr>
                <w:b/>
                <w:bCs/>
                <w:sz w:val="20"/>
                <w:szCs w:val="20"/>
              </w:rPr>
            </w:pPr>
            <w:r w:rsidRPr="00F22D86">
              <w:rPr>
                <w:b/>
                <w:bCs/>
                <w:sz w:val="20"/>
                <w:szCs w:val="20"/>
              </w:rPr>
              <w:t>VALOR R$</w:t>
            </w:r>
          </w:p>
        </w:tc>
      </w:tr>
      <w:tr w:rsidR="00F22D86" w:rsidRPr="00F22D86" w14:paraId="17BBB02D" w14:textId="77777777" w:rsidTr="0030510D">
        <w:trPr>
          <w:cantSplit/>
          <w:trHeight w:val="40"/>
        </w:trPr>
        <w:tc>
          <w:tcPr>
            <w:tcW w:w="567" w:type="dxa"/>
            <w:vMerge/>
            <w:tcBorders>
              <w:top w:val="single" w:sz="12" w:space="0" w:color="auto"/>
              <w:left w:val="single" w:sz="12" w:space="0" w:color="auto"/>
              <w:bottom w:val="single" w:sz="12" w:space="0" w:color="auto"/>
              <w:right w:val="single" w:sz="12" w:space="0" w:color="auto"/>
            </w:tcBorders>
            <w:vAlign w:val="center"/>
          </w:tcPr>
          <w:p w14:paraId="58F803C3" w14:textId="77777777" w:rsidR="00F22D86" w:rsidRPr="00F22D86" w:rsidRDefault="00F22D86" w:rsidP="0030510D">
            <w:pPr>
              <w:jc w:val="center"/>
              <w:rPr>
                <w:b/>
                <w:sz w:val="20"/>
                <w:szCs w:val="20"/>
              </w:rPr>
            </w:pPr>
          </w:p>
        </w:tc>
        <w:tc>
          <w:tcPr>
            <w:tcW w:w="709" w:type="dxa"/>
            <w:vMerge/>
            <w:tcBorders>
              <w:top w:val="single" w:sz="12" w:space="0" w:color="auto"/>
              <w:left w:val="single" w:sz="12" w:space="0" w:color="auto"/>
              <w:bottom w:val="single" w:sz="12" w:space="0" w:color="auto"/>
              <w:right w:val="single" w:sz="12" w:space="0" w:color="auto"/>
            </w:tcBorders>
            <w:vAlign w:val="center"/>
          </w:tcPr>
          <w:p w14:paraId="3DB52C14" w14:textId="77777777" w:rsidR="00F22D86" w:rsidRPr="00F22D86" w:rsidRDefault="00F22D86" w:rsidP="0030510D">
            <w:pPr>
              <w:jc w:val="center"/>
              <w:rPr>
                <w:b/>
                <w:sz w:val="20"/>
                <w:szCs w:val="20"/>
              </w:rPr>
            </w:pPr>
          </w:p>
        </w:tc>
        <w:tc>
          <w:tcPr>
            <w:tcW w:w="1094" w:type="dxa"/>
            <w:vMerge/>
            <w:tcBorders>
              <w:top w:val="single" w:sz="12" w:space="0" w:color="auto"/>
              <w:left w:val="single" w:sz="12" w:space="0" w:color="auto"/>
              <w:bottom w:val="single" w:sz="12" w:space="0" w:color="auto"/>
              <w:right w:val="single" w:sz="12" w:space="0" w:color="auto"/>
            </w:tcBorders>
            <w:vAlign w:val="center"/>
          </w:tcPr>
          <w:p w14:paraId="6A68C5BE" w14:textId="77777777" w:rsidR="00F22D86" w:rsidRPr="00F22D86" w:rsidRDefault="00F22D86" w:rsidP="0030510D">
            <w:pPr>
              <w:jc w:val="center"/>
              <w:rPr>
                <w:b/>
                <w:sz w:val="20"/>
                <w:szCs w:val="20"/>
              </w:rPr>
            </w:pPr>
          </w:p>
        </w:tc>
        <w:tc>
          <w:tcPr>
            <w:tcW w:w="4292" w:type="dxa"/>
            <w:tcBorders>
              <w:top w:val="single" w:sz="12" w:space="0" w:color="auto"/>
              <w:left w:val="single" w:sz="12" w:space="0" w:color="auto"/>
              <w:bottom w:val="single" w:sz="12" w:space="0" w:color="auto"/>
              <w:right w:val="single" w:sz="12" w:space="0" w:color="auto"/>
            </w:tcBorders>
            <w:vAlign w:val="center"/>
          </w:tcPr>
          <w:p w14:paraId="5076F8FE" w14:textId="77777777" w:rsidR="00F22D86" w:rsidRPr="00F22D86" w:rsidRDefault="00F22D86" w:rsidP="0030510D">
            <w:pPr>
              <w:jc w:val="center"/>
              <w:rPr>
                <w:b/>
                <w:sz w:val="20"/>
                <w:szCs w:val="20"/>
              </w:rPr>
            </w:pPr>
          </w:p>
        </w:tc>
        <w:tc>
          <w:tcPr>
            <w:tcW w:w="1418" w:type="dxa"/>
            <w:tcBorders>
              <w:top w:val="single" w:sz="12" w:space="0" w:color="auto"/>
              <w:left w:val="single" w:sz="12" w:space="0" w:color="auto"/>
              <w:bottom w:val="single" w:sz="12" w:space="0" w:color="auto"/>
              <w:right w:val="single" w:sz="12" w:space="0" w:color="auto"/>
            </w:tcBorders>
          </w:tcPr>
          <w:p w14:paraId="7F3B027C" w14:textId="77777777" w:rsidR="00F22D86" w:rsidRPr="00F22D86" w:rsidRDefault="00F22D86" w:rsidP="0030510D">
            <w:pPr>
              <w:jc w:val="center"/>
              <w:rPr>
                <w:b/>
                <w:sz w:val="20"/>
                <w:szCs w:val="20"/>
              </w:rPr>
            </w:pPr>
            <w:r w:rsidRPr="00F22D86">
              <w:rPr>
                <w:b/>
                <w:sz w:val="20"/>
                <w:szCs w:val="20"/>
              </w:rPr>
              <w:t>UNIT.</w:t>
            </w:r>
          </w:p>
        </w:tc>
        <w:tc>
          <w:tcPr>
            <w:tcW w:w="1559" w:type="dxa"/>
            <w:gridSpan w:val="2"/>
            <w:tcBorders>
              <w:top w:val="single" w:sz="4" w:space="0" w:color="auto"/>
              <w:left w:val="single" w:sz="12" w:space="0" w:color="auto"/>
              <w:bottom w:val="single" w:sz="12" w:space="0" w:color="auto"/>
              <w:right w:val="single" w:sz="12" w:space="0" w:color="auto"/>
            </w:tcBorders>
          </w:tcPr>
          <w:p w14:paraId="15DB4390" w14:textId="77777777" w:rsidR="00F22D86" w:rsidRPr="00F22D86" w:rsidRDefault="00F22D86" w:rsidP="0030510D">
            <w:pPr>
              <w:jc w:val="center"/>
              <w:rPr>
                <w:b/>
                <w:sz w:val="20"/>
                <w:szCs w:val="20"/>
              </w:rPr>
            </w:pPr>
            <w:r w:rsidRPr="00F22D86">
              <w:rPr>
                <w:b/>
                <w:sz w:val="20"/>
                <w:szCs w:val="20"/>
              </w:rPr>
              <w:t>TOTAL</w:t>
            </w:r>
          </w:p>
        </w:tc>
      </w:tr>
      <w:tr w:rsidR="00F22D86" w:rsidRPr="00F22D86" w14:paraId="67713281" w14:textId="77777777" w:rsidTr="0030510D">
        <w:trPr>
          <w:trHeight w:val="573"/>
        </w:trPr>
        <w:tc>
          <w:tcPr>
            <w:tcW w:w="567" w:type="dxa"/>
            <w:tcBorders>
              <w:top w:val="single" w:sz="12" w:space="0" w:color="auto"/>
              <w:left w:val="single" w:sz="12" w:space="0" w:color="auto"/>
              <w:bottom w:val="single" w:sz="12" w:space="0" w:color="auto"/>
              <w:right w:val="single" w:sz="12" w:space="0" w:color="auto"/>
            </w:tcBorders>
          </w:tcPr>
          <w:p w14:paraId="16625F0E" w14:textId="77777777" w:rsidR="00F22D86" w:rsidRPr="00F22D86" w:rsidRDefault="00F22D86" w:rsidP="0030510D">
            <w:pPr>
              <w:jc w:val="center"/>
              <w:rPr>
                <w:sz w:val="20"/>
                <w:szCs w:val="20"/>
              </w:rPr>
            </w:pPr>
            <w:r w:rsidRPr="00F22D86">
              <w:rPr>
                <w:sz w:val="20"/>
                <w:szCs w:val="20"/>
              </w:rPr>
              <w:t>01</w:t>
            </w:r>
          </w:p>
        </w:tc>
        <w:tc>
          <w:tcPr>
            <w:tcW w:w="709" w:type="dxa"/>
            <w:tcBorders>
              <w:top w:val="single" w:sz="12" w:space="0" w:color="auto"/>
              <w:left w:val="single" w:sz="12" w:space="0" w:color="auto"/>
              <w:bottom w:val="single" w:sz="12" w:space="0" w:color="auto"/>
              <w:right w:val="single" w:sz="12" w:space="0" w:color="auto"/>
            </w:tcBorders>
          </w:tcPr>
          <w:p w14:paraId="56E5521C" w14:textId="77777777" w:rsidR="00F22D86" w:rsidRPr="00F22D86" w:rsidRDefault="00F22D86" w:rsidP="0030510D">
            <w:pPr>
              <w:tabs>
                <w:tab w:val="left" w:pos="576"/>
              </w:tabs>
              <w:ind w:right="98"/>
              <w:jc w:val="center"/>
              <w:rPr>
                <w:sz w:val="20"/>
                <w:szCs w:val="20"/>
              </w:rPr>
            </w:pPr>
            <w:r w:rsidRPr="00F22D86">
              <w:rPr>
                <w:sz w:val="20"/>
                <w:szCs w:val="20"/>
              </w:rPr>
              <w:t>H</w:t>
            </w:r>
          </w:p>
        </w:tc>
        <w:tc>
          <w:tcPr>
            <w:tcW w:w="1094" w:type="dxa"/>
            <w:tcBorders>
              <w:top w:val="single" w:sz="12" w:space="0" w:color="auto"/>
              <w:left w:val="single" w:sz="12" w:space="0" w:color="auto"/>
              <w:bottom w:val="single" w:sz="12" w:space="0" w:color="auto"/>
              <w:right w:val="single" w:sz="12" w:space="0" w:color="auto"/>
            </w:tcBorders>
          </w:tcPr>
          <w:p w14:paraId="368BD497" w14:textId="77777777" w:rsidR="00F22D86" w:rsidRPr="00F22D86" w:rsidRDefault="00F22D86" w:rsidP="0030510D">
            <w:pPr>
              <w:tabs>
                <w:tab w:val="left" w:pos="576"/>
              </w:tabs>
              <w:ind w:right="98"/>
              <w:jc w:val="center"/>
              <w:rPr>
                <w:sz w:val="20"/>
                <w:szCs w:val="20"/>
              </w:rPr>
            </w:pPr>
            <w:r w:rsidRPr="00F22D86">
              <w:rPr>
                <w:sz w:val="20"/>
                <w:szCs w:val="20"/>
              </w:rPr>
              <w:t>4.000</w:t>
            </w:r>
          </w:p>
        </w:tc>
        <w:tc>
          <w:tcPr>
            <w:tcW w:w="4292" w:type="dxa"/>
            <w:tcBorders>
              <w:top w:val="single" w:sz="12" w:space="0" w:color="auto"/>
              <w:left w:val="single" w:sz="12" w:space="0" w:color="auto"/>
              <w:bottom w:val="single" w:sz="12" w:space="0" w:color="auto"/>
              <w:right w:val="single" w:sz="12" w:space="0" w:color="auto"/>
            </w:tcBorders>
          </w:tcPr>
          <w:p w14:paraId="2D676538" w14:textId="77777777" w:rsidR="00F22D86" w:rsidRPr="00F22D86" w:rsidRDefault="00F22D86" w:rsidP="0030510D">
            <w:pPr>
              <w:jc w:val="both"/>
              <w:rPr>
                <w:sz w:val="20"/>
                <w:szCs w:val="20"/>
              </w:rPr>
            </w:pPr>
            <w:r w:rsidRPr="00F22D86">
              <w:rPr>
                <w:b/>
                <w:bCs/>
                <w:sz w:val="20"/>
                <w:szCs w:val="20"/>
              </w:rPr>
              <w:t xml:space="preserve">SERVIÇO DE PEDREIRO - CARPINTEIRO </w:t>
            </w:r>
            <w:r w:rsidRPr="00F22D86">
              <w:rPr>
                <w:sz w:val="20"/>
                <w:szCs w:val="20"/>
              </w:rPr>
              <w:t>Substituição ou reparo de portas, sejam de madeira, metal ou outros materiais. Isso pode incluir a troca de dobradiças, fechaduras, ou até mesmo a substituição total da porta. Substituição de pisos danificados (cerâmica, madeira, laminado, etc.) e reparos em revestimentos de parede, como azulejos ou pedras decorativas.</w:t>
            </w:r>
          </w:p>
          <w:p w14:paraId="72A2F04E" w14:textId="77777777" w:rsidR="00F22D86" w:rsidRPr="00F22D86" w:rsidRDefault="00F22D86" w:rsidP="0030510D">
            <w:pPr>
              <w:jc w:val="both"/>
              <w:rPr>
                <w:sz w:val="20"/>
                <w:szCs w:val="20"/>
              </w:rPr>
            </w:pPr>
            <w:r w:rsidRPr="00F22D86">
              <w:rPr>
                <w:sz w:val="20"/>
                <w:szCs w:val="20"/>
              </w:rPr>
              <w:t xml:space="preserve">Reparação ou substituição de esquadrias (janelas, portas e outros elementos) tanto em metal quanto em madeira. Instalação ou manutenção de forros de gesso, PVC ou outros materiais. Isso pode incluir a substituição de placas danificadas ou a instalação de forros novos. Reparação de telhados danificados, incluindo a troca de telhas, reparos na estrutura de madeira ou metal e ajustes em calhas e rufos. Reparo de fissuras, rachaduras e buracos em paredes. Pode envolver a aplicação de reboco ou massa corrida para recompor a superfície. Fechamento e acabamento de furos deixados por quadros, prateleiras ou equipamentos que foram fixados na parede e retirados. Abertura de pisos ou paredes para acessar e reparar tubulações, e posterior recomposição da área afetada após o conserto. Reparo do rejunte em bacias sanitárias ou cerâmicas em ambientes como banheiros, onde há grande circulação de água. Instalação de fixações diversas, como lixeiras, placas informativas, suportes para equipamentos e outros itens em paredes ou no solo. Aplicação de produtos impermeabilizantes em lajes, telhados ou outros pontos críticos para evitar vazamentos. Colocação </w:t>
            </w:r>
            <w:r w:rsidRPr="00F22D86">
              <w:rPr>
                <w:sz w:val="20"/>
                <w:szCs w:val="20"/>
              </w:rPr>
              <w:lastRenderedPageBreak/>
              <w:t>de revestimentos de pedras naturais ou cerâmicas, como mármore, granito, azulejos, entre outros, em pisos, paredes e outras superfícies. Remoção de rebocos ou chapiscos danificados em paredes ou fachadas e posterior aplicação de novo revestimento. Abertura de novos vãos em paredes ou alvenarias, para instalação de janelas, portas ou outras estruturas. Execução de pequenas obras de construção, como fundações, paredes ou outras estruturas, quando houver necessidade. Execução de demolições pontuais em estruturas existentes, como remoção de paredes ou outros elementos, quando necessário para ajustes ou reformas. Realização de outras tarefas relacionadas à construção e reforma, de acordo com as necessidades do projeto ou da obra. Realização de serviços não previstos inicialmente, mas que surgirem ao longo da execução de um contrato ou obra</w:t>
            </w:r>
          </w:p>
        </w:tc>
        <w:tc>
          <w:tcPr>
            <w:tcW w:w="1418" w:type="dxa"/>
            <w:tcBorders>
              <w:top w:val="single" w:sz="12" w:space="0" w:color="auto"/>
              <w:left w:val="single" w:sz="12" w:space="0" w:color="auto"/>
              <w:bottom w:val="single" w:sz="12" w:space="0" w:color="auto"/>
              <w:right w:val="single" w:sz="12" w:space="0" w:color="auto"/>
            </w:tcBorders>
          </w:tcPr>
          <w:p w14:paraId="6FE9CDCE" w14:textId="77777777" w:rsidR="00F22D86" w:rsidRPr="00F22D86" w:rsidRDefault="00F22D86" w:rsidP="0030510D">
            <w:pPr>
              <w:jc w:val="center"/>
              <w:rPr>
                <w:b/>
                <w:sz w:val="20"/>
                <w:szCs w:val="20"/>
              </w:rPr>
            </w:pPr>
            <w:r w:rsidRPr="00F22D86">
              <w:rPr>
                <w:b/>
                <w:sz w:val="20"/>
                <w:szCs w:val="20"/>
              </w:rPr>
              <w:lastRenderedPageBreak/>
              <w:t>48,45</w:t>
            </w:r>
          </w:p>
        </w:tc>
        <w:tc>
          <w:tcPr>
            <w:tcW w:w="1559" w:type="dxa"/>
            <w:gridSpan w:val="2"/>
            <w:tcBorders>
              <w:top w:val="single" w:sz="12" w:space="0" w:color="auto"/>
              <w:left w:val="single" w:sz="12" w:space="0" w:color="auto"/>
              <w:bottom w:val="single" w:sz="12" w:space="0" w:color="auto"/>
              <w:right w:val="single" w:sz="12" w:space="0" w:color="auto"/>
            </w:tcBorders>
          </w:tcPr>
          <w:p w14:paraId="77894035" w14:textId="77777777" w:rsidR="00F22D86" w:rsidRPr="00F22D86" w:rsidRDefault="00F22D86" w:rsidP="0030510D">
            <w:pPr>
              <w:jc w:val="center"/>
              <w:rPr>
                <w:b/>
                <w:sz w:val="20"/>
                <w:szCs w:val="20"/>
              </w:rPr>
            </w:pPr>
            <w:r w:rsidRPr="00F22D86">
              <w:rPr>
                <w:b/>
                <w:sz w:val="20"/>
                <w:szCs w:val="20"/>
              </w:rPr>
              <w:t>193.800,00</w:t>
            </w:r>
          </w:p>
        </w:tc>
      </w:tr>
      <w:tr w:rsidR="00F22D86" w:rsidRPr="00F22D86" w14:paraId="7AC6D519" w14:textId="77777777" w:rsidTr="0030510D">
        <w:trPr>
          <w:trHeight w:val="431"/>
        </w:trPr>
        <w:tc>
          <w:tcPr>
            <w:tcW w:w="567" w:type="dxa"/>
            <w:tcBorders>
              <w:top w:val="single" w:sz="12" w:space="0" w:color="auto"/>
              <w:left w:val="single" w:sz="12" w:space="0" w:color="auto"/>
              <w:bottom w:val="single" w:sz="12" w:space="0" w:color="auto"/>
              <w:right w:val="single" w:sz="12" w:space="0" w:color="auto"/>
            </w:tcBorders>
          </w:tcPr>
          <w:p w14:paraId="7CAB6570" w14:textId="77777777" w:rsidR="00F22D86" w:rsidRPr="00F22D86" w:rsidRDefault="00F22D86" w:rsidP="0030510D">
            <w:pPr>
              <w:jc w:val="center"/>
              <w:rPr>
                <w:sz w:val="20"/>
                <w:szCs w:val="20"/>
              </w:rPr>
            </w:pPr>
            <w:r w:rsidRPr="00F22D86">
              <w:rPr>
                <w:sz w:val="20"/>
                <w:szCs w:val="20"/>
              </w:rPr>
              <w:t>02</w:t>
            </w:r>
          </w:p>
        </w:tc>
        <w:tc>
          <w:tcPr>
            <w:tcW w:w="709" w:type="dxa"/>
            <w:tcBorders>
              <w:top w:val="single" w:sz="12" w:space="0" w:color="auto"/>
              <w:left w:val="single" w:sz="12" w:space="0" w:color="auto"/>
              <w:bottom w:val="single" w:sz="12" w:space="0" w:color="auto"/>
              <w:right w:val="single" w:sz="12" w:space="0" w:color="auto"/>
            </w:tcBorders>
          </w:tcPr>
          <w:p w14:paraId="565F6D13" w14:textId="77777777" w:rsidR="00F22D86" w:rsidRPr="00F22D86" w:rsidRDefault="00F22D86" w:rsidP="0030510D">
            <w:pPr>
              <w:tabs>
                <w:tab w:val="left" w:pos="576"/>
              </w:tabs>
              <w:ind w:right="98"/>
              <w:jc w:val="center"/>
              <w:rPr>
                <w:sz w:val="20"/>
                <w:szCs w:val="20"/>
              </w:rPr>
            </w:pPr>
            <w:r w:rsidRPr="00F22D86">
              <w:rPr>
                <w:sz w:val="20"/>
                <w:szCs w:val="20"/>
              </w:rPr>
              <w:t>H</w:t>
            </w:r>
          </w:p>
        </w:tc>
        <w:tc>
          <w:tcPr>
            <w:tcW w:w="1094" w:type="dxa"/>
            <w:tcBorders>
              <w:top w:val="single" w:sz="12" w:space="0" w:color="auto"/>
              <w:left w:val="single" w:sz="12" w:space="0" w:color="auto"/>
              <w:bottom w:val="single" w:sz="12" w:space="0" w:color="auto"/>
              <w:right w:val="single" w:sz="12" w:space="0" w:color="auto"/>
            </w:tcBorders>
          </w:tcPr>
          <w:p w14:paraId="25E8679E" w14:textId="77777777" w:rsidR="00F22D86" w:rsidRPr="00F22D86" w:rsidRDefault="00F22D86" w:rsidP="0030510D">
            <w:pPr>
              <w:tabs>
                <w:tab w:val="left" w:pos="576"/>
              </w:tabs>
              <w:ind w:right="98"/>
              <w:jc w:val="center"/>
              <w:rPr>
                <w:sz w:val="20"/>
                <w:szCs w:val="20"/>
              </w:rPr>
            </w:pPr>
            <w:r w:rsidRPr="00F22D86">
              <w:rPr>
                <w:sz w:val="20"/>
                <w:szCs w:val="20"/>
              </w:rPr>
              <w:t>2.000</w:t>
            </w:r>
          </w:p>
        </w:tc>
        <w:tc>
          <w:tcPr>
            <w:tcW w:w="4292" w:type="dxa"/>
            <w:tcBorders>
              <w:top w:val="single" w:sz="12" w:space="0" w:color="auto"/>
              <w:left w:val="single" w:sz="12" w:space="0" w:color="auto"/>
              <w:bottom w:val="single" w:sz="12" w:space="0" w:color="auto"/>
              <w:right w:val="single" w:sz="12" w:space="0" w:color="auto"/>
            </w:tcBorders>
          </w:tcPr>
          <w:p w14:paraId="5FDBD996" w14:textId="77777777" w:rsidR="00F22D86" w:rsidRPr="00F22D86" w:rsidRDefault="00F22D86" w:rsidP="0030510D">
            <w:pPr>
              <w:pStyle w:val="Subttulo"/>
              <w:ind w:firstLine="0"/>
              <w:jc w:val="both"/>
              <w:rPr>
                <w:b/>
                <w:bCs/>
                <w:sz w:val="20"/>
              </w:rPr>
            </w:pPr>
            <w:r w:rsidRPr="00F22D86">
              <w:rPr>
                <w:b/>
                <w:bCs/>
                <w:sz w:val="20"/>
              </w:rPr>
              <w:t>SERVIÇO DE MARCENEIRO</w:t>
            </w:r>
          </w:p>
          <w:p w14:paraId="10372A62" w14:textId="77777777" w:rsidR="00F22D86" w:rsidRPr="00F22D86" w:rsidRDefault="00F22D86" w:rsidP="0030510D">
            <w:pPr>
              <w:jc w:val="both"/>
              <w:rPr>
                <w:sz w:val="20"/>
                <w:szCs w:val="20"/>
              </w:rPr>
            </w:pPr>
            <w:r w:rsidRPr="00F22D86">
              <w:rPr>
                <w:sz w:val="20"/>
                <w:szCs w:val="20"/>
              </w:rPr>
              <w:t xml:space="preserve">Fabricação e instalação de componentes de madeira maciça, compensados, MDF, MDP, laminados ou equivalentes, incluindo lambris, rodapés, assoalhos, forros e revestimentos de </w:t>
            </w:r>
            <w:proofErr w:type="spellStart"/>
            <w:r w:rsidRPr="00F22D86">
              <w:rPr>
                <w:sz w:val="20"/>
                <w:szCs w:val="20"/>
              </w:rPr>
              <w:t>teto.Operações</w:t>
            </w:r>
            <w:proofErr w:type="spellEnd"/>
            <w:r w:rsidRPr="00F22D86">
              <w:rPr>
                <w:sz w:val="20"/>
                <w:szCs w:val="20"/>
              </w:rPr>
              <w:t xml:space="preserve"> executadas com o uso de </w:t>
            </w:r>
            <w:r w:rsidRPr="00F22D86">
              <w:rPr>
                <w:b/>
                <w:bCs/>
                <w:sz w:val="20"/>
                <w:szCs w:val="20"/>
              </w:rPr>
              <w:t>ferramentas manuais especializadas</w:t>
            </w:r>
            <w:r w:rsidRPr="00F22D86">
              <w:rPr>
                <w:sz w:val="20"/>
                <w:szCs w:val="20"/>
              </w:rPr>
              <w:t xml:space="preserve"> (formões, plainas, serras manuais, esquadros, grampos, entre outros) e </w:t>
            </w:r>
            <w:r w:rsidRPr="00F22D86">
              <w:rPr>
                <w:b/>
                <w:bCs/>
                <w:sz w:val="20"/>
                <w:szCs w:val="20"/>
              </w:rPr>
              <w:t>máquinas-ferramentas</w:t>
            </w:r>
            <w:r w:rsidRPr="00F22D86">
              <w:rPr>
                <w:sz w:val="20"/>
                <w:szCs w:val="20"/>
              </w:rPr>
              <w:t xml:space="preserve"> estacionárias ou portáteis (serra circular, tupia, lixadeira orbital, desempenadeira, serra fita, entre outros).Fixação e união por meio de colas apropriadas (PVA, PU, epóxi), parafusos, pregos, cavilhas, encaixes e demais sistemas de fixação adequados às normas técnicas vigentes .Dimensionamento e corte de peças segundo projeto executivo ou desenho técnico, respeitando tolerâncias dimensionais e esquadrejamento. Montagem de estruturas e painéis por encaixe, colagem, aparafusamento ou pregagem, observando técnicas para evitar empenamento, fissuração ou desalinhamento. Reparos e manutenção de peças existentes, incluindo substituição de partes deterioradas, reforço estrutural, lixamento, reaplicação de acabamentos, ajustes de ferragens e alinhamentos. Aplicação de tratamentos e acabamentos como seladoras, vernizes, </w:t>
            </w:r>
            <w:proofErr w:type="spellStart"/>
            <w:r w:rsidRPr="00F22D86">
              <w:rPr>
                <w:sz w:val="20"/>
                <w:szCs w:val="20"/>
              </w:rPr>
              <w:t>stains</w:t>
            </w:r>
            <w:proofErr w:type="spellEnd"/>
            <w:r w:rsidRPr="00F22D86">
              <w:rPr>
                <w:sz w:val="20"/>
                <w:szCs w:val="20"/>
              </w:rPr>
              <w:t xml:space="preserve">, esmaltes, óleos e ceras, conforme especificação, para proteção contra umidade, fungos e insetos xilófagos. Execução de lixamento progressivo (granulações sucessivas) para nivelamento e suavização da superfície antes da aplicação de acabamentos. Instalação de ferragens (dobradiças, corrediças, puxadores, fechaduras) com ajuste fino de </w:t>
            </w:r>
            <w:proofErr w:type="gramStart"/>
            <w:r w:rsidRPr="00F22D86">
              <w:rPr>
                <w:sz w:val="20"/>
                <w:szCs w:val="20"/>
              </w:rPr>
              <w:t>funcionamento .Fixação</w:t>
            </w:r>
            <w:proofErr w:type="gramEnd"/>
            <w:r w:rsidRPr="00F22D86">
              <w:rPr>
                <w:sz w:val="20"/>
                <w:szCs w:val="20"/>
              </w:rPr>
              <w:t xml:space="preserve"> segura de elementos às bases estruturais (alvenaria, </w:t>
            </w:r>
            <w:r w:rsidRPr="00F22D86">
              <w:rPr>
                <w:sz w:val="20"/>
                <w:szCs w:val="20"/>
              </w:rPr>
              <w:lastRenderedPageBreak/>
              <w:t>concreto, metal ou outras madeiras), evitando vibração, empenamento ou deslocamento. Realização de serviços correlatos que venham a ser necessários durante a vigência da Ata de Registro de Preços, respeitando o escopo da marcenaria e seguindo boas práticas de execução e segurança.</w:t>
            </w:r>
          </w:p>
        </w:tc>
        <w:tc>
          <w:tcPr>
            <w:tcW w:w="1418" w:type="dxa"/>
            <w:tcBorders>
              <w:top w:val="single" w:sz="12" w:space="0" w:color="auto"/>
              <w:left w:val="single" w:sz="12" w:space="0" w:color="auto"/>
              <w:bottom w:val="single" w:sz="12" w:space="0" w:color="auto"/>
              <w:right w:val="single" w:sz="12" w:space="0" w:color="auto"/>
            </w:tcBorders>
          </w:tcPr>
          <w:p w14:paraId="2F61B1BE" w14:textId="77777777" w:rsidR="00F22D86" w:rsidRPr="00F22D86" w:rsidRDefault="00F22D86" w:rsidP="0030510D">
            <w:pPr>
              <w:jc w:val="center"/>
              <w:rPr>
                <w:b/>
                <w:sz w:val="20"/>
                <w:szCs w:val="20"/>
              </w:rPr>
            </w:pPr>
            <w:r w:rsidRPr="00F22D86">
              <w:rPr>
                <w:b/>
                <w:sz w:val="20"/>
                <w:szCs w:val="20"/>
              </w:rPr>
              <w:lastRenderedPageBreak/>
              <w:t>47,00</w:t>
            </w:r>
          </w:p>
        </w:tc>
        <w:tc>
          <w:tcPr>
            <w:tcW w:w="1559" w:type="dxa"/>
            <w:gridSpan w:val="2"/>
            <w:tcBorders>
              <w:top w:val="single" w:sz="12" w:space="0" w:color="auto"/>
              <w:left w:val="single" w:sz="12" w:space="0" w:color="auto"/>
              <w:bottom w:val="single" w:sz="12" w:space="0" w:color="auto"/>
              <w:right w:val="single" w:sz="12" w:space="0" w:color="auto"/>
            </w:tcBorders>
          </w:tcPr>
          <w:p w14:paraId="51EC8C15" w14:textId="77777777" w:rsidR="00F22D86" w:rsidRPr="00F22D86" w:rsidRDefault="00F22D86" w:rsidP="0030510D">
            <w:pPr>
              <w:jc w:val="center"/>
              <w:rPr>
                <w:b/>
                <w:sz w:val="20"/>
                <w:szCs w:val="20"/>
              </w:rPr>
            </w:pPr>
            <w:r w:rsidRPr="00F22D86">
              <w:rPr>
                <w:b/>
                <w:sz w:val="20"/>
                <w:szCs w:val="20"/>
              </w:rPr>
              <w:t>94.000,00</w:t>
            </w:r>
          </w:p>
        </w:tc>
      </w:tr>
      <w:tr w:rsidR="00F22D86" w:rsidRPr="00F22D86" w14:paraId="57E50969" w14:textId="77777777" w:rsidTr="0030510D">
        <w:tc>
          <w:tcPr>
            <w:tcW w:w="567" w:type="dxa"/>
            <w:tcBorders>
              <w:top w:val="single" w:sz="12" w:space="0" w:color="auto"/>
              <w:left w:val="single" w:sz="12" w:space="0" w:color="auto"/>
              <w:bottom w:val="single" w:sz="12" w:space="0" w:color="auto"/>
              <w:right w:val="single" w:sz="12" w:space="0" w:color="auto"/>
            </w:tcBorders>
          </w:tcPr>
          <w:p w14:paraId="38EA0742" w14:textId="77777777" w:rsidR="00F22D86" w:rsidRPr="00F22D86" w:rsidRDefault="00F22D86" w:rsidP="0030510D">
            <w:pPr>
              <w:jc w:val="center"/>
              <w:rPr>
                <w:sz w:val="20"/>
                <w:szCs w:val="20"/>
              </w:rPr>
            </w:pPr>
            <w:r w:rsidRPr="00F22D86">
              <w:rPr>
                <w:sz w:val="20"/>
                <w:szCs w:val="20"/>
              </w:rPr>
              <w:t>05</w:t>
            </w:r>
          </w:p>
        </w:tc>
        <w:tc>
          <w:tcPr>
            <w:tcW w:w="709" w:type="dxa"/>
            <w:tcBorders>
              <w:top w:val="single" w:sz="12" w:space="0" w:color="auto"/>
              <w:left w:val="single" w:sz="12" w:space="0" w:color="auto"/>
              <w:bottom w:val="single" w:sz="12" w:space="0" w:color="auto"/>
              <w:right w:val="single" w:sz="12" w:space="0" w:color="auto"/>
            </w:tcBorders>
          </w:tcPr>
          <w:p w14:paraId="05254D77" w14:textId="77777777" w:rsidR="00F22D86" w:rsidRPr="00F22D86" w:rsidRDefault="00F22D86" w:rsidP="0030510D">
            <w:pPr>
              <w:tabs>
                <w:tab w:val="left" w:pos="576"/>
              </w:tabs>
              <w:ind w:right="98"/>
              <w:jc w:val="center"/>
              <w:rPr>
                <w:sz w:val="20"/>
                <w:szCs w:val="20"/>
              </w:rPr>
            </w:pPr>
            <w:r w:rsidRPr="00F22D86">
              <w:rPr>
                <w:sz w:val="20"/>
                <w:szCs w:val="20"/>
              </w:rPr>
              <w:t>H</w:t>
            </w:r>
          </w:p>
        </w:tc>
        <w:tc>
          <w:tcPr>
            <w:tcW w:w="1094" w:type="dxa"/>
            <w:tcBorders>
              <w:top w:val="single" w:sz="12" w:space="0" w:color="auto"/>
              <w:left w:val="single" w:sz="12" w:space="0" w:color="auto"/>
              <w:bottom w:val="single" w:sz="12" w:space="0" w:color="auto"/>
              <w:right w:val="single" w:sz="12" w:space="0" w:color="auto"/>
            </w:tcBorders>
          </w:tcPr>
          <w:p w14:paraId="03198395" w14:textId="77777777" w:rsidR="00F22D86" w:rsidRPr="00F22D86" w:rsidRDefault="00F22D86" w:rsidP="0030510D">
            <w:pPr>
              <w:tabs>
                <w:tab w:val="left" w:pos="576"/>
              </w:tabs>
              <w:ind w:right="98"/>
              <w:jc w:val="center"/>
              <w:rPr>
                <w:sz w:val="20"/>
                <w:szCs w:val="20"/>
              </w:rPr>
            </w:pPr>
            <w:r w:rsidRPr="00F22D86">
              <w:rPr>
                <w:sz w:val="20"/>
                <w:szCs w:val="20"/>
              </w:rPr>
              <w:t>3.000</w:t>
            </w:r>
          </w:p>
        </w:tc>
        <w:tc>
          <w:tcPr>
            <w:tcW w:w="4292" w:type="dxa"/>
            <w:tcBorders>
              <w:top w:val="single" w:sz="12" w:space="0" w:color="auto"/>
              <w:left w:val="single" w:sz="12" w:space="0" w:color="auto"/>
              <w:bottom w:val="single" w:sz="12" w:space="0" w:color="auto"/>
              <w:right w:val="single" w:sz="12" w:space="0" w:color="auto"/>
            </w:tcBorders>
          </w:tcPr>
          <w:p w14:paraId="04D9AB32" w14:textId="77777777" w:rsidR="00F22D86" w:rsidRPr="00F22D86" w:rsidRDefault="00F22D86" w:rsidP="0030510D">
            <w:pPr>
              <w:jc w:val="both"/>
              <w:rPr>
                <w:sz w:val="20"/>
                <w:szCs w:val="20"/>
              </w:rPr>
            </w:pPr>
            <w:r w:rsidRPr="00F22D86">
              <w:rPr>
                <w:b/>
                <w:bCs/>
                <w:sz w:val="20"/>
                <w:szCs w:val="20"/>
              </w:rPr>
              <w:t>SERVIÇOS DE PINTOR</w:t>
            </w:r>
            <w:r w:rsidRPr="00F22D86">
              <w:rPr>
                <w:sz w:val="20"/>
                <w:szCs w:val="20"/>
              </w:rPr>
              <w:t>: Execução de serviços de emassamento, raspagem, pintura e aplicação de revestimentos em geral; Emassamento, raspagem e pintura de tetos em laje e gesso; Lixamento de tetos e paredes com reboco ou massa; Remoção de pinturas e revestimentos antigos ou danificados; Realização de retoques com reaplicação de tintas ou revestimentos; Pintura e tratamento anticorrosivo de grades, portões e demais estruturas metálicas; Execução de pinturas demarcatórias e de orientação em estacionamentos e demais áreas; Demais serviços correlatos que se fizerem necessários durante a vigência da Ata de Registro de Preços</w:t>
            </w:r>
          </w:p>
          <w:p w14:paraId="2D895C42" w14:textId="77777777" w:rsidR="00F22D86" w:rsidRPr="00F22D86" w:rsidRDefault="00F22D86" w:rsidP="0030510D">
            <w:pPr>
              <w:pStyle w:val="Subttulo"/>
              <w:ind w:firstLine="0"/>
              <w:jc w:val="both"/>
              <w:rPr>
                <w:sz w:val="20"/>
              </w:rPr>
            </w:pPr>
          </w:p>
        </w:tc>
        <w:tc>
          <w:tcPr>
            <w:tcW w:w="1418" w:type="dxa"/>
            <w:tcBorders>
              <w:top w:val="single" w:sz="12" w:space="0" w:color="auto"/>
              <w:left w:val="single" w:sz="12" w:space="0" w:color="auto"/>
              <w:bottom w:val="single" w:sz="12" w:space="0" w:color="auto"/>
              <w:right w:val="single" w:sz="12" w:space="0" w:color="auto"/>
            </w:tcBorders>
          </w:tcPr>
          <w:p w14:paraId="09A51834" w14:textId="77777777" w:rsidR="00F22D86" w:rsidRPr="00F22D86" w:rsidRDefault="00F22D86" w:rsidP="0030510D">
            <w:pPr>
              <w:jc w:val="center"/>
              <w:rPr>
                <w:b/>
                <w:sz w:val="20"/>
                <w:szCs w:val="20"/>
              </w:rPr>
            </w:pPr>
            <w:r w:rsidRPr="00F22D86">
              <w:rPr>
                <w:b/>
                <w:sz w:val="20"/>
                <w:szCs w:val="20"/>
              </w:rPr>
              <w:t>61,00</w:t>
            </w:r>
          </w:p>
        </w:tc>
        <w:tc>
          <w:tcPr>
            <w:tcW w:w="1559" w:type="dxa"/>
            <w:gridSpan w:val="2"/>
            <w:tcBorders>
              <w:top w:val="single" w:sz="12" w:space="0" w:color="auto"/>
              <w:left w:val="single" w:sz="12" w:space="0" w:color="auto"/>
              <w:bottom w:val="single" w:sz="12" w:space="0" w:color="auto"/>
              <w:right w:val="single" w:sz="12" w:space="0" w:color="auto"/>
            </w:tcBorders>
          </w:tcPr>
          <w:p w14:paraId="1D9E2B04" w14:textId="77777777" w:rsidR="00F22D86" w:rsidRPr="00F22D86" w:rsidRDefault="00F22D86" w:rsidP="0030510D">
            <w:pPr>
              <w:jc w:val="center"/>
              <w:rPr>
                <w:b/>
                <w:sz w:val="20"/>
                <w:szCs w:val="20"/>
              </w:rPr>
            </w:pPr>
            <w:r w:rsidRPr="00F22D86">
              <w:rPr>
                <w:b/>
                <w:sz w:val="20"/>
                <w:szCs w:val="20"/>
              </w:rPr>
              <w:t>183.000,00</w:t>
            </w:r>
          </w:p>
        </w:tc>
      </w:tr>
      <w:tr w:rsidR="00F22D86" w:rsidRPr="00F22D86" w14:paraId="54ED9F1A" w14:textId="77777777" w:rsidTr="0030510D">
        <w:tc>
          <w:tcPr>
            <w:tcW w:w="8080" w:type="dxa"/>
            <w:gridSpan w:val="5"/>
            <w:tcBorders>
              <w:top w:val="single" w:sz="12" w:space="0" w:color="auto"/>
              <w:left w:val="single" w:sz="12" w:space="0" w:color="auto"/>
              <w:bottom w:val="single" w:sz="12" w:space="0" w:color="auto"/>
              <w:right w:val="single" w:sz="12" w:space="0" w:color="auto"/>
            </w:tcBorders>
          </w:tcPr>
          <w:p w14:paraId="08A6F83F" w14:textId="77777777" w:rsidR="00F22D86" w:rsidRPr="00F22D86" w:rsidRDefault="00F22D86" w:rsidP="0030510D">
            <w:pPr>
              <w:jc w:val="center"/>
              <w:rPr>
                <w:b/>
                <w:sz w:val="20"/>
                <w:szCs w:val="20"/>
              </w:rPr>
            </w:pPr>
            <w:r w:rsidRPr="00F22D86">
              <w:rPr>
                <w:b/>
                <w:sz w:val="20"/>
                <w:szCs w:val="20"/>
              </w:rPr>
              <w:t>VALOR TOTAL DE ATÉ R$470.800,00</w:t>
            </w:r>
          </w:p>
        </w:tc>
        <w:tc>
          <w:tcPr>
            <w:tcW w:w="1559" w:type="dxa"/>
            <w:gridSpan w:val="2"/>
            <w:tcBorders>
              <w:top w:val="single" w:sz="12" w:space="0" w:color="auto"/>
              <w:left w:val="single" w:sz="12" w:space="0" w:color="auto"/>
              <w:bottom w:val="single" w:sz="12" w:space="0" w:color="auto"/>
              <w:right w:val="single" w:sz="12" w:space="0" w:color="auto"/>
            </w:tcBorders>
          </w:tcPr>
          <w:p w14:paraId="088E44AF" w14:textId="77777777" w:rsidR="00F22D86" w:rsidRPr="00F22D86" w:rsidRDefault="00F22D86" w:rsidP="0030510D">
            <w:pPr>
              <w:jc w:val="center"/>
              <w:rPr>
                <w:b/>
                <w:sz w:val="20"/>
                <w:szCs w:val="20"/>
              </w:rPr>
            </w:pPr>
          </w:p>
        </w:tc>
      </w:tr>
    </w:tbl>
    <w:p w14:paraId="3AFD84C2" w14:textId="77777777" w:rsidR="00F22D86" w:rsidRPr="00F22D86" w:rsidRDefault="00F22D86" w:rsidP="00F22D86">
      <w:pPr>
        <w:tabs>
          <w:tab w:val="left" w:pos="11624"/>
          <w:tab w:val="left" w:pos="11907"/>
        </w:tabs>
        <w:rPr>
          <w:sz w:val="20"/>
          <w:szCs w:val="20"/>
        </w:rPr>
      </w:pPr>
    </w:p>
    <w:tbl>
      <w:tblPr>
        <w:tblW w:w="9639"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67"/>
        <w:gridCol w:w="1094"/>
        <w:gridCol w:w="4292"/>
        <w:gridCol w:w="1418"/>
        <w:gridCol w:w="1552"/>
        <w:gridCol w:w="7"/>
      </w:tblGrid>
      <w:tr w:rsidR="00F22D86" w:rsidRPr="00F22D86" w14:paraId="289A6395" w14:textId="77777777" w:rsidTr="0030510D">
        <w:trPr>
          <w:gridAfter w:val="1"/>
          <w:wAfter w:w="7" w:type="dxa"/>
          <w:cantSplit/>
          <w:trHeight w:val="229"/>
        </w:trPr>
        <w:tc>
          <w:tcPr>
            <w:tcW w:w="9632" w:type="dxa"/>
            <w:gridSpan w:val="6"/>
            <w:tcBorders>
              <w:top w:val="single" w:sz="12" w:space="0" w:color="auto"/>
              <w:left w:val="single" w:sz="12" w:space="0" w:color="auto"/>
              <w:bottom w:val="single" w:sz="12" w:space="0" w:color="auto"/>
              <w:right w:val="single" w:sz="12" w:space="0" w:color="auto"/>
            </w:tcBorders>
          </w:tcPr>
          <w:p w14:paraId="2ADAD7ED" w14:textId="77777777" w:rsidR="00F22D86" w:rsidRPr="00F22D86" w:rsidRDefault="00F22D86" w:rsidP="0030510D">
            <w:pPr>
              <w:spacing w:after="200" w:line="276" w:lineRule="auto"/>
              <w:jc w:val="center"/>
              <w:rPr>
                <w:b/>
                <w:bCs/>
                <w:sz w:val="20"/>
                <w:szCs w:val="20"/>
              </w:rPr>
            </w:pPr>
            <w:r w:rsidRPr="00F22D86">
              <w:rPr>
                <w:b/>
                <w:bCs/>
                <w:sz w:val="20"/>
                <w:szCs w:val="20"/>
              </w:rPr>
              <w:t>CONSTRUTIVA SERVIÇOS DE APOIO ADMINISTRATIVO LTDA CNPJ Nº 49.894.692/0001-58</w:t>
            </w:r>
          </w:p>
        </w:tc>
      </w:tr>
      <w:tr w:rsidR="00F22D86" w:rsidRPr="00F22D86" w14:paraId="33C1EBAA" w14:textId="77777777" w:rsidTr="0030510D">
        <w:trPr>
          <w:gridAfter w:val="1"/>
          <w:wAfter w:w="7" w:type="dxa"/>
          <w:cantSplit/>
          <w:trHeight w:val="229"/>
        </w:trPr>
        <w:tc>
          <w:tcPr>
            <w:tcW w:w="709" w:type="dxa"/>
            <w:vMerge w:val="restart"/>
            <w:tcBorders>
              <w:top w:val="single" w:sz="12" w:space="0" w:color="auto"/>
              <w:left w:val="single" w:sz="12" w:space="0" w:color="auto"/>
              <w:bottom w:val="single" w:sz="12" w:space="0" w:color="auto"/>
              <w:right w:val="single" w:sz="12" w:space="0" w:color="auto"/>
            </w:tcBorders>
          </w:tcPr>
          <w:p w14:paraId="45EB25B8" w14:textId="77777777" w:rsidR="00F22D86" w:rsidRPr="00F22D86" w:rsidRDefault="00F22D86" w:rsidP="0030510D">
            <w:pPr>
              <w:pStyle w:val="Cabealho"/>
              <w:tabs>
                <w:tab w:val="left" w:pos="708"/>
              </w:tabs>
              <w:jc w:val="center"/>
              <w:rPr>
                <w:rFonts w:ascii="Times New Roman" w:hAnsi="Times New Roman" w:cs="Times New Roman"/>
                <w:b/>
                <w:sz w:val="20"/>
                <w:szCs w:val="20"/>
              </w:rPr>
            </w:pPr>
            <w:r w:rsidRPr="00F22D86">
              <w:rPr>
                <w:rFonts w:ascii="Times New Roman" w:hAnsi="Times New Roman" w:cs="Times New Roman"/>
                <w:b/>
                <w:sz w:val="20"/>
                <w:szCs w:val="20"/>
              </w:rPr>
              <w:t>ITEM</w:t>
            </w:r>
          </w:p>
        </w:tc>
        <w:tc>
          <w:tcPr>
            <w:tcW w:w="567" w:type="dxa"/>
            <w:vMerge w:val="restart"/>
            <w:tcBorders>
              <w:top w:val="single" w:sz="12" w:space="0" w:color="auto"/>
              <w:left w:val="single" w:sz="12" w:space="0" w:color="auto"/>
              <w:bottom w:val="single" w:sz="12" w:space="0" w:color="auto"/>
              <w:right w:val="single" w:sz="12" w:space="0" w:color="auto"/>
            </w:tcBorders>
          </w:tcPr>
          <w:p w14:paraId="6912CE78" w14:textId="77777777" w:rsidR="00F22D86" w:rsidRPr="00F22D86" w:rsidRDefault="00F22D86" w:rsidP="0030510D">
            <w:pPr>
              <w:jc w:val="center"/>
              <w:rPr>
                <w:b/>
                <w:sz w:val="20"/>
                <w:szCs w:val="20"/>
              </w:rPr>
            </w:pPr>
            <w:r w:rsidRPr="00F22D86">
              <w:rPr>
                <w:b/>
                <w:sz w:val="20"/>
                <w:szCs w:val="20"/>
              </w:rPr>
              <w:t>UN</w:t>
            </w:r>
          </w:p>
        </w:tc>
        <w:tc>
          <w:tcPr>
            <w:tcW w:w="1094" w:type="dxa"/>
            <w:vMerge w:val="restart"/>
            <w:tcBorders>
              <w:top w:val="single" w:sz="12" w:space="0" w:color="auto"/>
              <w:left w:val="single" w:sz="12" w:space="0" w:color="auto"/>
              <w:bottom w:val="single" w:sz="12" w:space="0" w:color="auto"/>
              <w:right w:val="single" w:sz="12" w:space="0" w:color="auto"/>
            </w:tcBorders>
          </w:tcPr>
          <w:p w14:paraId="1187CE81" w14:textId="77777777" w:rsidR="00F22D86" w:rsidRPr="00F22D86" w:rsidRDefault="00F22D86" w:rsidP="0030510D">
            <w:pPr>
              <w:ind w:right="-37"/>
              <w:jc w:val="center"/>
              <w:rPr>
                <w:b/>
                <w:sz w:val="20"/>
                <w:szCs w:val="20"/>
              </w:rPr>
            </w:pPr>
            <w:r w:rsidRPr="00F22D86">
              <w:rPr>
                <w:b/>
                <w:sz w:val="20"/>
                <w:szCs w:val="20"/>
              </w:rPr>
              <w:t>QUANT. ESTIMADA</w:t>
            </w:r>
          </w:p>
        </w:tc>
        <w:tc>
          <w:tcPr>
            <w:tcW w:w="4292" w:type="dxa"/>
            <w:vMerge w:val="restart"/>
            <w:tcBorders>
              <w:top w:val="single" w:sz="12" w:space="0" w:color="auto"/>
              <w:left w:val="single" w:sz="12" w:space="0" w:color="auto"/>
              <w:bottom w:val="single" w:sz="12" w:space="0" w:color="auto"/>
              <w:right w:val="single" w:sz="12" w:space="0" w:color="auto"/>
            </w:tcBorders>
          </w:tcPr>
          <w:p w14:paraId="2209D679" w14:textId="77777777" w:rsidR="00F22D86" w:rsidRPr="00F22D86" w:rsidRDefault="00F22D86" w:rsidP="0030510D">
            <w:pPr>
              <w:jc w:val="center"/>
              <w:rPr>
                <w:b/>
                <w:sz w:val="20"/>
                <w:szCs w:val="20"/>
              </w:rPr>
            </w:pPr>
            <w:r w:rsidRPr="00F22D86">
              <w:rPr>
                <w:b/>
                <w:sz w:val="20"/>
                <w:szCs w:val="20"/>
              </w:rPr>
              <w:t xml:space="preserve">DESCRIÇÃO </w:t>
            </w:r>
          </w:p>
        </w:tc>
        <w:tc>
          <w:tcPr>
            <w:tcW w:w="2970" w:type="dxa"/>
            <w:gridSpan w:val="2"/>
            <w:tcBorders>
              <w:top w:val="single" w:sz="12" w:space="0" w:color="auto"/>
              <w:bottom w:val="single" w:sz="12" w:space="0" w:color="auto"/>
              <w:right w:val="single" w:sz="12" w:space="0" w:color="auto"/>
            </w:tcBorders>
          </w:tcPr>
          <w:p w14:paraId="6E75AEDB" w14:textId="77777777" w:rsidR="00F22D86" w:rsidRPr="00F22D86" w:rsidRDefault="00F22D86" w:rsidP="0030510D">
            <w:pPr>
              <w:spacing w:after="200" w:line="276" w:lineRule="auto"/>
              <w:jc w:val="center"/>
              <w:rPr>
                <w:b/>
                <w:bCs/>
                <w:sz w:val="20"/>
                <w:szCs w:val="20"/>
              </w:rPr>
            </w:pPr>
            <w:r w:rsidRPr="00F22D86">
              <w:rPr>
                <w:b/>
                <w:bCs/>
                <w:sz w:val="20"/>
                <w:szCs w:val="20"/>
              </w:rPr>
              <w:t>VALOR R$</w:t>
            </w:r>
          </w:p>
        </w:tc>
      </w:tr>
      <w:tr w:rsidR="00F22D86" w:rsidRPr="00F22D86" w14:paraId="21C9AF3E" w14:textId="77777777" w:rsidTr="0030510D">
        <w:trPr>
          <w:cantSplit/>
          <w:trHeight w:val="40"/>
        </w:trPr>
        <w:tc>
          <w:tcPr>
            <w:tcW w:w="709" w:type="dxa"/>
            <w:vMerge/>
            <w:tcBorders>
              <w:top w:val="single" w:sz="12" w:space="0" w:color="auto"/>
              <w:left w:val="single" w:sz="12" w:space="0" w:color="auto"/>
              <w:bottom w:val="single" w:sz="12" w:space="0" w:color="auto"/>
              <w:right w:val="single" w:sz="12" w:space="0" w:color="auto"/>
            </w:tcBorders>
            <w:vAlign w:val="center"/>
          </w:tcPr>
          <w:p w14:paraId="317AA603" w14:textId="77777777" w:rsidR="00F22D86" w:rsidRPr="00F22D86" w:rsidRDefault="00F22D86" w:rsidP="0030510D">
            <w:pPr>
              <w:jc w:val="center"/>
              <w:rPr>
                <w:b/>
                <w:sz w:val="20"/>
                <w:szCs w:val="20"/>
              </w:rPr>
            </w:pPr>
          </w:p>
        </w:tc>
        <w:tc>
          <w:tcPr>
            <w:tcW w:w="567" w:type="dxa"/>
            <w:vMerge/>
            <w:tcBorders>
              <w:top w:val="single" w:sz="12" w:space="0" w:color="auto"/>
              <w:left w:val="single" w:sz="12" w:space="0" w:color="auto"/>
              <w:bottom w:val="single" w:sz="12" w:space="0" w:color="auto"/>
              <w:right w:val="single" w:sz="12" w:space="0" w:color="auto"/>
            </w:tcBorders>
            <w:vAlign w:val="center"/>
          </w:tcPr>
          <w:p w14:paraId="493F7EFB" w14:textId="77777777" w:rsidR="00F22D86" w:rsidRPr="00F22D86" w:rsidRDefault="00F22D86" w:rsidP="0030510D">
            <w:pPr>
              <w:jc w:val="center"/>
              <w:rPr>
                <w:b/>
                <w:sz w:val="20"/>
                <w:szCs w:val="20"/>
              </w:rPr>
            </w:pPr>
          </w:p>
        </w:tc>
        <w:tc>
          <w:tcPr>
            <w:tcW w:w="1094" w:type="dxa"/>
            <w:vMerge/>
            <w:tcBorders>
              <w:top w:val="single" w:sz="12" w:space="0" w:color="auto"/>
              <w:left w:val="single" w:sz="12" w:space="0" w:color="auto"/>
              <w:bottom w:val="single" w:sz="12" w:space="0" w:color="auto"/>
              <w:right w:val="single" w:sz="12" w:space="0" w:color="auto"/>
            </w:tcBorders>
            <w:vAlign w:val="center"/>
          </w:tcPr>
          <w:p w14:paraId="23F73E60" w14:textId="77777777" w:rsidR="00F22D86" w:rsidRPr="00F22D86" w:rsidRDefault="00F22D86" w:rsidP="0030510D">
            <w:pPr>
              <w:jc w:val="center"/>
              <w:rPr>
                <w:b/>
                <w:sz w:val="20"/>
                <w:szCs w:val="20"/>
              </w:rPr>
            </w:pPr>
          </w:p>
        </w:tc>
        <w:tc>
          <w:tcPr>
            <w:tcW w:w="4292" w:type="dxa"/>
            <w:vMerge/>
            <w:tcBorders>
              <w:top w:val="single" w:sz="12" w:space="0" w:color="auto"/>
              <w:left w:val="single" w:sz="12" w:space="0" w:color="auto"/>
              <w:bottom w:val="single" w:sz="12" w:space="0" w:color="auto"/>
              <w:right w:val="single" w:sz="12" w:space="0" w:color="auto"/>
            </w:tcBorders>
            <w:vAlign w:val="center"/>
          </w:tcPr>
          <w:p w14:paraId="5F209E86" w14:textId="77777777" w:rsidR="00F22D86" w:rsidRPr="00F22D86" w:rsidRDefault="00F22D86" w:rsidP="0030510D">
            <w:pPr>
              <w:jc w:val="center"/>
              <w:rPr>
                <w:b/>
                <w:sz w:val="20"/>
                <w:szCs w:val="20"/>
              </w:rPr>
            </w:pPr>
          </w:p>
        </w:tc>
        <w:tc>
          <w:tcPr>
            <w:tcW w:w="1418" w:type="dxa"/>
            <w:tcBorders>
              <w:top w:val="single" w:sz="4" w:space="0" w:color="auto"/>
              <w:left w:val="single" w:sz="12" w:space="0" w:color="auto"/>
              <w:bottom w:val="single" w:sz="12" w:space="0" w:color="auto"/>
              <w:right w:val="single" w:sz="12" w:space="0" w:color="auto"/>
            </w:tcBorders>
          </w:tcPr>
          <w:p w14:paraId="016E569F" w14:textId="77777777" w:rsidR="00F22D86" w:rsidRPr="00F22D86" w:rsidRDefault="00F22D86" w:rsidP="0030510D">
            <w:pPr>
              <w:jc w:val="center"/>
              <w:rPr>
                <w:b/>
                <w:sz w:val="20"/>
                <w:szCs w:val="20"/>
              </w:rPr>
            </w:pPr>
            <w:r w:rsidRPr="00F22D86">
              <w:rPr>
                <w:b/>
                <w:sz w:val="20"/>
                <w:szCs w:val="20"/>
              </w:rPr>
              <w:t>UNIT.</w:t>
            </w:r>
          </w:p>
        </w:tc>
        <w:tc>
          <w:tcPr>
            <w:tcW w:w="1559" w:type="dxa"/>
            <w:gridSpan w:val="2"/>
            <w:tcBorders>
              <w:top w:val="single" w:sz="4" w:space="0" w:color="auto"/>
              <w:left w:val="single" w:sz="12" w:space="0" w:color="auto"/>
              <w:bottom w:val="single" w:sz="12" w:space="0" w:color="auto"/>
              <w:right w:val="single" w:sz="12" w:space="0" w:color="auto"/>
            </w:tcBorders>
          </w:tcPr>
          <w:p w14:paraId="00FDC05F" w14:textId="77777777" w:rsidR="00F22D86" w:rsidRPr="00F22D86" w:rsidRDefault="00F22D86" w:rsidP="0030510D">
            <w:pPr>
              <w:jc w:val="center"/>
              <w:rPr>
                <w:b/>
                <w:sz w:val="20"/>
                <w:szCs w:val="20"/>
              </w:rPr>
            </w:pPr>
            <w:r w:rsidRPr="00F22D86">
              <w:rPr>
                <w:b/>
                <w:sz w:val="20"/>
                <w:szCs w:val="20"/>
              </w:rPr>
              <w:t>TOTAL</w:t>
            </w:r>
          </w:p>
        </w:tc>
      </w:tr>
      <w:tr w:rsidR="00F22D86" w:rsidRPr="00F22D86" w14:paraId="56F2E891" w14:textId="77777777" w:rsidTr="0030510D">
        <w:tc>
          <w:tcPr>
            <w:tcW w:w="709" w:type="dxa"/>
            <w:tcBorders>
              <w:top w:val="single" w:sz="12" w:space="0" w:color="auto"/>
              <w:left w:val="single" w:sz="12" w:space="0" w:color="auto"/>
              <w:bottom w:val="single" w:sz="12" w:space="0" w:color="auto"/>
              <w:right w:val="single" w:sz="12" w:space="0" w:color="auto"/>
            </w:tcBorders>
          </w:tcPr>
          <w:p w14:paraId="51549B60" w14:textId="77777777" w:rsidR="00F22D86" w:rsidRPr="00F22D86" w:rsidRDefault="00F22D86" w:rsidP="0030510D">
            <w:pPr>
              <w:jc w:val="center"/>
              <w:rPr>
                <w:sz w:val="20"/>
                <w:szCs w:val="20"/>
              </w:rPr>
            </w:pPr>
            <w:r w:rsidRPr="00F22D86">
              <w:rPr>
                <w:sz w:val="20"/>
                <w:szCs w:val="20"/>
              </w:rPr>
              <w:t>03</w:t>
            </w:r>
          </w:p>
        </w:tc>
        <w:tc>
          <w:tcPr>
            <w:tcW w:w="567" w:type="dxa"/>
            <w:tcBorders>
              <w:top w:val="single" w:sz="12" w:space="0" w:color="auto"/>
              <w:left w:val="single" w:sz="12" w:space="0" w:color="auto"/>
              <w:bottom w:val="single" w:sz="12" w:space="0" w:color="auto"/>
              <w:right w:val="single" w:sz="12" w:space="0" w:color="auto"/>
            </w:tcBorders>
          </w:tcPr>
          <w:p w14:paraId="35D985C2" w14:textId="77777777" w:rsidR="00F22D86" w:rsidRPr="00F22D86" w:rsidRDefault="00F22D86" w:rsidP="0030510D">
            <w:pPr>
              <w:tabs>
                <w:tab w:val="left" w:pos="576"/>
              </w:tabs>
              <w:ind w:right="98"/>
              <w:jc w:val="center"/>
              <w:rPr>
                <w:sz w:val="20"/>
                <w:szCs w:val="20"/>
              </w:rPr>
            </w:pPr>
            <w:r w:rsidRPr="00F22D86">
              <w:rPr>
                <w:sz w:val="20"/>
                <w:szCs w:val="20"/>
              </w:rPr>
              <w:t>H</w:t>
            </w:r>
          </w:p>
        </w:tc>
        <w:tc>
          <w:tcPr>
            <w:tcW w:w="1094" w:type="dxa"/>
            <w:tcBorders>
              <w:top w:val="single" w:sz="12" w:space="0" w:color="auto"/>
              <w:left w:val="single" w:sz="12" w:space="0" w:color="auto"/>
              <w:bottom w:val="single" w:sz="12" w:space="0" w:color="auto"/>
              <w:right w:val="single" w:sz="12" w:space="0" w:color="auto"/>
            </w:tcBorders>
          </w:tcPr>
          <w:p w14:paraId="74ED3765" w14:textId="77777777" w:rsidR="00F22D86" w:rsidRPr="00F22D86" w:rsidRDefault="00F22D86" w:rsidP="0030510D">
            <w:pPr>
              <w:tabs>
                <w:tab w:val="left" w:pos="576"/>
              </w:tabs>
              <w:ind w:right="98"/>
              <w:jc w:val="center"/>
              <w:rPr>
                <w:sz w:val="20"/>
                <w:szCs w:val="20"/>
              </w:rPr>
            </w:pPr>
            <w:r w:rsidRPr="00F22D86">
              <w:rPr>
                <w:sz w:val="20"/>
                <w:szCs w:val="20"/>
              </w:rPr>
              <w:t>4.000</w:t>
            </w:r>
          </w:p>
        </w:tc>
        <w:tc>
          <w:tcPr>
            <w:tcW w:w="4292" w:type="dxa"/>
            <w:tcBorders>
              <w:top w:val="single" w:sz="12" w:space="0" w:color="auto"/>
              <w:left w:val="single" w:sz="12" w:space="0" w:color="auto"/>
              <w:bottom w:val="single" w:sz="12" w:space="0" w:color="auto"/>
              <w:right w:val="single" w:sz="12" w:space="0" w:color="auto"/>
            </w:tcBorders>
          </w:tcPr>
          <w:p w14:paraId="4B730850" w14:textId="77777777" w:rsidR="00F22D86" w:rsidRPr="00F22D86" w:rsidRDefault="00F22D86" w:rsidP="0030510D">
            <w:pPr>
              <w:spacing w:after="100" w:afterAutospacing="1"/>
              <w:jc w:val="both"/>
              <w:rPr>
                <w:sz w:val="20"/>
                <w:szCs w:val="20"/>
              </w:rPr>
            </w:pPr>
            <w:r w:rsidRPr="00F22D86">
              <w:rPr>
                <w:rFonts w:eastAsiaTheme="minorHAnsi"/>
                <w:b/>
                <w:bCs/>
                <w:sz w:val="20"/>
                <w:szCs w:val="20"/>
                <w:lang w:eastAsia="en-US"/>
              </w:rPr>
              <w:t xml:space="preserve">SERVIÇO DE ENCANADOR: </w:t>
            </w:r>
            <w:r w:rsidRPr="00F22D86">
              <w:rPr>
                <w:sz w:val="20"/>
                <w:szCs w:val="20"/>
              </w:rPr>
              <w:t xml:space="preserve">Inspeção de tubulações, conexões, registros, válvulas, bombas e reservatórios, prevenindo falhas e vazamentos. Localização e reparo de vazamentos visíveis e não visíveis, utilizando equipamentos de detecção de pressão ou escuta acústica. Substituição de componentes defeituosos, com recomposição da integridade do sistema. Montagem, instalação ou substituição de metais sanitários (torneiras, misturadores, chuveiros, registros de pressão e gaveta). Instalação de válvulas de descarga, caixas acopladas, sistemas de acionamento hidráulico e mecânico. Ligação hidráulica de equipamentos como filtros, purificadores, bebedouros, lavadoras, aquecedores e bombas. Testes de estanqueidade em redes de água e esgoto. Regulagem de pressão nas tubulações através de registros e válvulas redutoras, evitando sobrecarga hidráulica. Monitoramento do fluxo e da vazão para garantir o desempenho do sistema. Verificação das instalações hidrossanitárias para identificação de pontos de desgaste, corrosão ou mau funcionamento. Conferência da vedação de conexões, juntas e engates flexíveis. Identificação de infiltrações, retorno de odores e entupimentos. Desentupimento </w:t>
            </w:r>
            <w:r w:rsidRPr="00F22D86">
              <w:rPr>
                <w:sz w:val="20"/>
                <w:szCs w:val="20"/>
              </w:rPr>
              <w:lastRenderedPageBreak/>
              <w:t>de vasos sanitários, mictórios, lavatórios e pias utilizando métodos manuais ou mecânicos (cabos desentupidores, pressão hidráulica, hidrojateamento). Limpeza de sifões e caixas de gordura. Substituição de válvulas, registros, conexões, engates flexíveis e tubulações comprometidas. Restauração de peças danificadas, preservando a conformidade com o projeto original. Atendimento a outras demandas de natureza hidráulica ou hidrossanitária surgidas durante a vigência da Ata de Registro de Preços, respeitando o escopo técnico do serviço.</w:t>
            </w:r>
          </w:p>
        </w:tc>
        <w:tc>
          <w:tcPr>
            <w:tcW w:w="1418" w:type="dxa"/>
            <w:tcBorders>
              <w:top w:val="single" w:sz="12" w:space="0" w:color="auto"/>
              <w:left w:val="single" w:sz="12" w:space="0" w:color="auto"/>
              <w:bottom w:val="single" w:sz="12" w:space="0" w:color="auto"/>
              <w:right w:val="single" w:sz="12" w:space="0" w:color="auto"/>
            </w:tcBorders>
          </w:tcPr>
          <w:p w14:paraId="1712D130" w14:textId="77777777" w:rsidR="00F22D86" w:rsidRPr="00F22D86" w:rsidRDefault="00F22D86" w:rsidP="0030510D">
            <w:pPr>
              <w:jc w:val="center"/>
              <w:rPr>
                <w:b/>
                <w:sz w:val="20"/>
                <w:szCs w:val="20"/>
              </w:rPr>
            </w:pPr>
            <w:r w:rsidRPr="00F22D86">
              <w:rPr>
                <w:b/>
                <w:sz w:val="20"/>
                <w:szCs w:val="20"/>
              </w:rPr>
              <w:lastRenderedPageBreak/>
              <w:t>48,40</w:t>
            </w:r>
          </w:p>
        </w:tc>
        <w:tc>
          <w:tcPr>
            <w:tcW w:w="1559" w:type="dxa"/>
            <w:gridSpan w:val="2"/>
            <w:tcBorders>
              <w:top w:val="single" w:sz="12" w:space="0" w:color="auto"/>
              <w:left w:val="single" w:sz="12" w:space="0" w:color="auto"/>
              <w:bottom w:val="single" w:sz="12" w:space="0" w:color="auto"/>
              <w:right w:val="single" w:sz="12" w:space="0" w:color="auto"/>
            </w:tcBorders>
          </w:tcPr>
          <w:p w14:paraId="47EFD609" w14:textId="77777777" w:rsidR="00F22D86" w:rsidRPr="00F22D86" w:rsidRDefault="00F22D86" w:rsidP="0030510D">
            <w:pPr>
              <w:jc w:val="center"/>
              <w:rPr>
                <w:b/>
                <w:sz w:val="20"/>
                <w:szCs w:val="20"/>
              </w:rPr>
            </w:pPr>
            <w:r w:rsidRPr="00F22D86">
              <w:rPr>
                <w:b/>
                <w:sz w:val="20"/>
                <w:szCs w:val="20"/>
              </w:rPr>
              <w:t>193.600,00</w:t>
            </w:r>
          </w:p>
        </w:tc>
      </w:tr>
      <w:tr w:rsidR="00F22D86" w:rsidRPr="00F22D86" w14:paraId="114A9779" w14:textId="77777777" w:rsidTr="0030510D">
        <w:tc>
          <w:tcPr>
            <w:tcW w:w="709" w:type="dxa"/>
            <w:tcBorders>
              <w:top w:val="single" w:sz="12" w:space="0" w:color="auto"/>
              <w:left w:val="single" w:sz="12" w:space="0" w:color="auto"/>
              <w:bottom w:val="single" w:sz="12" w:space="0" w:color="auto"/>
              <w:right w:val="single" w:sz="12" w:space="0" w:color="auto"/>
            </w:tcBorders>
          </w:tcPr>
          <w:p w14:paraId="3FD0DF96" w14:textId="77777777" w:rsidR="00F22D86" w:rsidRPr="00F22D86" w:rsidRDefault="00F22D86" w:rsidP="0030510D">
            <w:pPr>
              <w:jc w:val="center"/>
              <w:rPr>
                <w:sz w:val="20"/>
                <w:szCs w:val="20"/>
              </w:rPr>
            </w:pPr>
            <w:r w:rsidRPr="00F22D86">
              <w:rPr>
                <w:sz w:val="20"/>
                <w:szCs w:val="20"/>
              </w:rPr>
              <w:t>04</w:t>
            </w:r>
          </w:p>
        </w:tc>
        <w:tc>
          <w:tcPr>
            <w:tcW w:w="567" w:type="dxa"/>
            <w:tcBorders>
              <w:top w:val="single" w:sz="12" w:space="0" w:color="auto"/>
              <w:left w:val="single" w:sz="12" w:space="0" w:color="auto"/>
              <w:bottom w:val="single" w:sz="12" w:space="0" w:color="auto"/>
              <w:right w:val="single" w:sz="12" w:space="0" w:color="auto"/>
            </w:tcBorders>
          </w:tcPr>
          <w:p w14:paraId="4B1E6052" w14:textId="77777777" w:rsidR="00F22D86" w:rsidRPr="00F22D86" w:rsidRDefault="00F22D86" w:rsidP="0030510D">
            <w:pPr>
              <w:tabs>
                <w:tab w:val="left" w:pos="576"/>
              </w:tabs>
              <w:ind w:right="98"/>
              <w:jc w:val="center"/>
              <w:rPr>
                <w:sz w:val="20"/>
                <w:szCs w:val="20"/>
              </w:rPr>
            </w:pPr>
            <w:r w:rsidRPr="00F22D86">
              <w:rPr>
                <w:sz w:val="20"/>
                <w:szCs w:val="20"/>
              </w:rPr>
              <w:t>H</w:t>
            </w:r>
          </w:p>
        </w:tc>
        <w:tc>
          <w:tcPr>
            <w:tcW w:w="1094" w:type="dxa"/>
            <w:tcBorders>
              <w:top w:val="single" w:sz="12" w:space="0" w:color="auto"/>
              <w:left w:val="single" w:sz="12" w:space="0" w:color="auto"/>
              <w:bottom w:val="single" w:sz="12" w:space="0" w:color="auto"/>
              <w:right w:val="single" w:sz="12" w:space="0" w:color="auto"/>
            </w:tcBorders>
          </w:tcPr>
          <w:p w14:paraId="67621A08" w14:textId="77777777" w:rsidR="00F22D86" w:rsidRPr="00F22D86" w:rsidRDefault="00F22D86" w:rsidP="0030510D">
            <w:pPr>
              <w:tabs>
                <w:tab w:val="left" w:pos="576"/>
              </w:tabs>
              <w:ind w:right="98"/>
              <w:jc w:val="center"/>
              <w:rPr>
                <w:sz w:val="20"/>
                <w:szCs w:val="20"/>
              </w:rPr>
            </w:pPr>
            <w:r w:rsidRPr="00F22D86">
              <w:rPr>
                <w:sz w:val="20"/>
                <w:szCs w:val="20"/>
              </w:rPr>
              <w:t>2.000</w:t>
            </w:r>
          </w:p>
        </w:tc>
        <w:tc>
          <w:tcPr>
            <w:tcW w:w="4292" w:type="dxa"/>
            <w:tcBorders>
              <w:top w:val="single" w:sz="12" w:space="0" w:color="auto"/>
              <w:left w:val="single" w:sz="12" w:space="0" w:color="auto"/>
              <w:bottom w:val="single" w:sz="12" w:space="0" w:color="auto"/>
              <w:right w:val="single" w:sz="12" w:space="0" w:color="auto"/>
            </w:tcBorders>
          </w:tcPr>
          <w:p w14:paraId="398D827E" w14:textId="77777777" w:rsidR="00F22D86" w:rsidRPr="00F22D86" w:rsidRDefault="00F22D86" w:rsidP="0030510D">
            <w:pPr>
              <w:jc w:val="both"/>
              <w:rPr>
                <w:b/>
                <w:bCs/>
                <w:sz w:val="20"/>
                <w:szCs w:val="20"/>
              </w:rPr>
            </w:pPr>
            <w:r w:rsidRPr="00F22D86">
              <w:rPr>
                <w:b/>
                <w:bCs/>
                <w:sz w:val="20"/>
                <w:szCs w:val="20"/>
              </w:rPr>
              <w:t xml:space="preserve">SERVIÇO DE FUNILEIRO: </w:t>
            </w:r>
            <w:r w:rsidRPr="00F22D86">
              <w:rPr>
                <w:sz w:val="20"/>
                <w:szCs w:val="20"/>
              </w:rPr>
              <w:t xml:space="preserve">Execução de serviços de confecção, reparo e substituição de produtos metálicos, tais como chaminés, reservatórios, calhas, </w:t>
            </w:r>
            <w:proofErr w:type="spellStart"/>
            <w:r w:rsidRPr="00F22D86">
              <w:rPr>
                <w:sz w:val="20"/>
                <w:szCs w:val="20"/>
              </w:rPr>
              <w:t>algerosas</w:t>
            </w:r>
            <w:proofErr w:type="spellEnd"/>
            <w:r w:rsidRPr="00F22D86">
              <w:rPr>
                <w:sz w:val="20"/>
                <w:szCs w:val="20"/>
              </w:rPr>
              <w:t xml:space="preserve"> e similares; Realização de inspeção visual para identificação de desgastes, vazamentos, corrosão ou deformações nas peças metálicas;</w:t>
            </w:r>
            <w:r w:rsidRPr="00F22D86">
              <w:rPr>
                <w:b/>
                <w:bCs/>
                <w:sz w:val="20"/>
                <w:szCs w:val="20"/>
              </w:rPr>
              <w:t xml:space="preserve"> </w:t>
            </w:r>
            <w:r w:rsidRPr="00F22D86">
              <w:rPr>
                <w:sz w:val="20"/>
                <w:szCs w:val="20"/>
              </w:rPr>
              <w:t>Ajuste, corte e dobra de chapas metálicas conforme especificações técnicas;</w:t>
            </w:r>
            <w:r w:rsidRPr="00F22D86">
              <w:rPr>
                <w:b/>
                <w:bCs/>
                <w:sz w:val="20"/>
                <w:szCs w:val="20"/>
              </w:rPr>
              <w:t xml:space="preserve"> </w:t>
            </w:r>
            <w:r w:rsidRPr="00F22D86">
              <w:rPr>
                <w:sz w:val="20"/>
                <w:szCs w:val="20"/>
              </w:rPr>
              <w:t>Aplicação de solda, rebites e outros processos de fixação adequados;</w:t>
            </w:r>
            <w:r w:rsidRPr="00F22D86">
              <w:rPr>
                <w:b/>
                <w:bCs/>
                <w:sz w:val="20"/>
                <w:szCs w:val="20"/>
              </w:rPr>
              <w:t xml:space="preserve"> </w:t>
            </w:r>
            <w:r w:rsidRPr="00F22D86">
              <w:rPr>
                <w:sz w:val="20"/>
                <w:szCs w:val="20"/>
              </w:rPr>
              <w:t>Demais serviços correlatos que se fizerem necessários durante a vigência da Ata de Registro de Preços.</w:t>
            </w:r>
          </w:p>
        </w:tc>
        <w:tc>
          <w:tcPr>
            <w:tcW w:w="1418" w:type="dxa"/>
            <w:tcBorders>
              <w:top w:val="single" w:sz="12" w:space="0" w:color="auto"/>
              <w:left w:val="single" w:sz="12" w:space="0" w:color="auto"/>
              <w:bottom w:val="single" w:sz="12" w:space="0" w:color="auto"/>
              <w:right w:val="single" w:sz="12" w:space="0" w:color="auto"/>
            </w:tcBorders>
          </w:tcPr>
          <w:p w14:paraId="04D3F099" w14:textId="77777777" w:rsidR="00F22D86" w:rsidRPr="00F22D86" w:rsidRDefault="00F22D86" w:rsidP="0030510D">
            <w:pPr>
              <w:jc w:val="center"/>
              <w:rPr>
                <w:b/>
                <w:sz w:val="20"/>
                <w:szCs w:val="20"/>
              </w:rPr>
            </w:pPr>
            <w:r w:rsidRPr="00F22D86">
              <w:rPr>
                <w:b/>
                <w:sz w:val="20"/>
                <w:szCs w:val="20"/>
              </w:rPr>
              <w:t>49,10</w:t>
            </w:r>
          </w:p>
        </w:tc>
        <w:tc>
          <w:tcPr>
            <w:tcW w:w="1559" w:type="dxa"/>
            <w:gridSpan w:val="2"/>
            <w:tcBorders>
              <w:top w:val="single" w:sz="12" w:space="0" w:color="auto"/>
              <w:left w:val="single" w:sz="12" w:space="0" w:color="auto"/>
              <w:bottom w:val="single" w:sz="12" w:space="0" w:color="auto"/>
              <w:right w:val="single" w:sz="12" w:space="0" w:color="auto"/>
            </w:tcBorders>
          </w:tcPr>
          <w:p w14:paraId="51C1C25F" w14:textId="77777777" w:rsidR="00F22D86" w:rsidRPr="00F22D86" w:rsidRDefault="00F22D86" w:rsidP="0030510D">
            <w:pPr>
              <w:jc w:val="center"/>
              <w:rPr>
                <w:b/>
                <w:sz w:val="20"/>
                <w:szCs w:val="20"/>
              </w:rPr>
            </w:pPr>
            <w:r w:rsidRPr="00F22D86">
              <w:rPr>
                <w:b/>
                <w:sz w:val="20"/>
                <w:szCs w:val="20"/>
              </w:rPr>
              <w:t>98.200,00</w:t>
            </w:r>
          </w:p>
        </w:tc>
      </w:tr>
      <w:tr w:rsidR="00F22D86" w:rsidRPr="00F22D86" w14:paraId="577EC3D2" w14:textId="77777777" w:rsidTr="0030510D">
        <w:tc>
          <w:tcPr>
            <w:tcW w:w="709" w:type="dxa"/>
            <w:tcBorders>
              <w:top w:val="single" w:sz="12" w:space="0" w:color="auto"/>
              <w:left w:val="single" w:sz="12" w:space="0" w:color="auto"/>
              <w:bottom w:val="single" w:sz="12" w:space="0" w:color="auto"/>
              <w:right w:val="single" w:sz="12" w:space="0" w:color="auto"/>
            </w:tcBorders>
          </w:tcPr>
          <w:p w14:paraId="75A1B214" w14:textId="77777777" w:rsidR="00F22D86" w:rsidRPr="00F22D86" w:rsidRDefault="00F22D86" w:rsidP="0030510D">
            <w:pPr>
              <w:jc w:val="center"/>
              <w:rPr>
                <w:sz w:val="20"/>
                <w:szCs w:val="20"/>
              </w:rPr>
            </w:pPr>
            <w:r w:rsidRPr="00F22D86">
              <w:rPr>
                <w:sz w:val="20"/>
                <w:szCs w:val="20"/>
              </w:rPr>
              <w:t>06</w:t>
            </w:r>
          </w:p>
        </w:tc>
        <w:tc>
          <w:tcPr>
            <w:tcW w:w="567" w:type="dxa"/>
            <w:tcBorders>
              <w:top w:val="single" w:sz="12" w:space="0" w:color="auto"/>
              <w:left w:val="single" w:sz="12" w:space="0" w:color="auto"/>
              <w:bottom w:val="single" w:sz="12" w:space="0" w:color="auto"/>
              <w:right w:val="single" w:sz="12" w:space="0" w:color="auto"/>
            </w:tcBorders>
          </w:tcPr>
          <w:p w14:paraId="5739A126" w14:textId="77777777" w:rsidR="00F22D86" w:rsidRPr="00F22D86" w:rsidRDefault="00F22D86" w:rsidP="0030510D">
            <w:pPr>
              <w:tabs>
                <w:tab w:val="left" w:pos="576"/>
              </w:tabs>
              <w:ind w:right="98"/>
              <w:jc w:val="center"/>
              <w:rPr>
                <w:sz w:val="20"/>
                <w:szCs w:val="20"/>
              </w:rPr>
            </w:pPr>
            <w:r w:rsidRPr="00F22D86">
              <w:rPr>
                <w:sz w:val="20"/>
                <w:szCs w:val="20"/>
              </w:rPr>
              <w:t>H</w:t>
            </w:r>
          </w:p>
        </w:tc>
        <w:tc>
          <w:tcPr>
            <w:tcW w:w="1094" w:type="dxa"/>
            <w:tcBorders>
              <w:top w:val="single" w:sz="12" w:space="0" w:color="auto"/>
              <w:left w:val="single" w:sz="12" w:space="0" w:color="auto"/>
              <w:bottom w:val="single" w:sz="12" w:space="0" w:color="auto"/>
              <w:right w:val="single" w:sz="12" w:space="0" w:color="auto"/>
            </w:tcBorders>
          </w:tcPr>
          <w:p w14:paraId="58E8209F" w14:textId="77777777" w:rsidR="00F22D86" w:rsidRPr="00F22D86" w:rsidRDefault="00F22D86" w:rsidP="0030510D">
            <w:pPr>
              <w:tabs>
                <w:tab w:val="left" w:pos="576"/>
              </w:tabs>
              <w:ind w:right="98"/>
              <w:jc w:val="center"/>
              <w:rPr>
                <w:sz w:val="20"/>
                <w:szCs w:val="20"/>
              </w:rPr>
            </w:pPr>
            <w:r w:rsidRPr="00F22D86">
              <w:rPr>
                <w:sz w:val="20"/>
                <w:szCs w:val="20"/>
              </w:rPr>
              <w:t>2.000</w:t>
            </w:r>
          </w:p>
        </w:tc>
        <w:tc>
          <w:tcPr>
            <w:tcW w:w="4292" w:type="dxa"/>
            <w:tcBorders>
              <w:top w:val="single" w:sz="12" w:space="0" w:color="auto"/>
              <w:left w:val="single" w:sz="12" w:space="0" w:color="auto"/>
              <w:bottom w:val="single" w:sz="12" w:space="0" w:color="auto"/>
              <w:right w:val="single" w:sz="12" w:space="0" w:color="auto"/>
            </w:tcBorders>
          </w:tcPr>
          <w:p w14:paraId="5C384A3A" w14:textId="77777777" w:rsidR="00F22D86" w:rsidRPr="00F22D86" w:rsidRDefault="00F22D86" w:rsidP="0030510D">
            <w:pPr>
              <w:jc w:val="both"/>
              <w:rPr>
                <w:b/>
                <w:bCs/>
                <w:sz w:val="20"/>
                <w:szCs w:val="20"/>
                <w:u w:val="single"/>
              </w:rPr>
            </w:pPr>
            <w:r w:rsidRPr="00F22D86">
              <w:rPr>
                <w:b/>
                <w:bCs/>
                <w:sz w:val="20"/>
                <w:szCs w:val="20"/>
              </w:rPr>
              <w:t>SERVIÇO DE SERRALHEIRO</w:t>
            </w:r>
            <w:r w:rsidRPr="00F22D86">
              <w:rPr>
                <w:sz w:val="20"/>
                <w:szCs w:val="20"/>
              </w:rPr>
              <w:t>: Realização de soldagem e recuperação estrutural de caçambas de caminhões e outros equipamentos;</w:t>
            </w:r>
          </w:p>
          <w:p w14:paraId="7684846F" w14:textId="77777777" w:rsidR="00F22D86" w:rsidRPr="00F22D86" w:rsidRDefault="00F22D86" w:rsidP="0030510D">
            <w:pPr>
              <w:jc w:val="both"/>
              <w:rPr>
                <w:b/>
                <w:bCs/>
                <w:sz w:val="20"/>
                <w:szCs w:val="20"/>
                <w:u w:val="single"/>
              </w:rPr>
            </w:pPr>
            <w:r w:rsidRPr="00F22D86">
              <w:rPr>
                <w:sz w:val="20"/>
                <w:szCs w:val="20"/>
              </w:rPr>
              <w:t xml:space="preserve">Soldagem e montagem de peças, com posterior acabamento e tratamento da superfície; </w:t>
            </w:r>
            <w:proofErr w:type="gramStart"/>
            <w:r w:rsidRPr="00F22D86">
              <w:rPr>
                <w:sz w:val="20"/>
                <w:szCs w:val="20"/>
              </w:rPr>
              <w:t>Demais</w:t>
            </w:r>
            <w:proofErr w:type="gramEnd"/>
            <w:r w:rsidRPr="00F22D86">
              <w:rPr>
                <w:sz w:val="20"/>
                <w:szCs w:val="20"/>
              </w:rPr>
              <w:t xml:space="preserve"> serviços correlatos que se fizerem necessários durante a vigência da Ata de Registro de Preços.</w:t>
            </w:r>
          </w:p>
        </w:tc>
        <w:tc>
          <w:tcPr>
            <w:tcW w:w="1418" w:type="dxa"/>
            <w:tcBorders>
              <w:top w:val="single" w:sz="12" w:space="0" w:color="auto"/>
              <w:left w:val="single" w:sz="12" w:space="0" w:color="auto"/>
              <w:bottom w:val="single" w:sz="12" w:space="0" w:color="auto"/>
              <w:right w:val="single" w:sz="12" w:space="0" w:color="auto"/>
            </w:tcBorders>
          </w:tcPr>
          <w:p w14:paraId="54D98FB5" w14:textId="77777777" w:rsidR="00F22D86" w:rsidRPr="00F22D86" w:rsidRDefault="00F22D86" w:rsidP="0030510D">
            <w:pPr>
              <w:jc w:val="center"/>
              <w:rPr>
                <w:b/>
                <w:sz w:val="20"/>
                <w:szCs w:val="20"/>
              </w:rPr>
            </w:pPr>
            <w:r w:rsidRPr="00F22D86">
              <w:rPr>
                <w:b/>
                <w:sz w:val="20"/>
                <w:szCs w:val="20"/>
              </w:rPr>
              <w:t>63,00</w:t>
            </w:r>
          </w:p>
        </w:tc>
        <w:tc>
          <w:tcPr>
            <w:tcW w:w="1559" w:type="dxa"/>
            <w:gridSpan w:val="2"/>
            <w:tcBorders>
              <w:top w:val="single" w:sz="12" w:space="0" w:color="auto"/>
              <w:left w:val="single" w:sz="12" w:space="0" w:color="auto"/>
              <w:bottom w:val="single" w:sz="12" w:space="0" w:color="auto"/>
              <w:right w:val="single" w:sz="12" w:space="0" w:color="auto"/>
            </w:tcBorders>
          </w:tcPr>
          <w:p w14:paraId="396AF67C" w14:textId="77777777" w:rsidR="00F22D86" w:rsidRPr="00F22D86" w:rsidRDefault="00F22D86" w:rsidP="0030510D">
            <w:pPr>
              <w:jc w:val="center"/>
              <w:rPr>
                <w:b/>
                <w:sz w:val="20"/>
                <w:szCs w:val="20"/>
              </w:rPr>
            </w:pPr>
            <w:r w:rsidRPr="00F22D86">
              <w:rPr>
                <w:b/>
                <w:sz w:val="20"/>
                <w:szCs w:val="20"/>
              </w:rPr>
              <w:t>126.000,00</w:t>
            </w:r>
          </w:p>
        </w:tc>
      </w:tr>
      <w:tr w:rsidR="00F22D86" w:rsidRPr="00F22D86" w14:paraId="0FBFAB81" w14:textId="77777777" w:rsidTr="0030510D">
        <w:tc>
          <w:tcPr>
            <w:tcW w:w="8080" w:type="dxa"/>
            <w:gridSpan w:val="5"/>
            <w:tcBorders>
              <w:top w:val="single" w:sz="12" w:space="0" w:color="auto"/>
              <w:left w:val="single" w:sz="12" w:space="0" w:color="auto"/>
              <w:bottom w:val="single" w:sz="12" w:space="0" w:color="auto"/>
              <w:right w:val="single" w:sz="12" w:space="0" w:color="auto"/>
            </w:tcBorders>
          </w:tcPr>
          <w:p w14:paraId="352B21C9" w14:textId="77777777" w:rsidR="00F22D86" w:rsidRPr="00F22D86" w:rsidRDefault="00F22D86" w:rsidP="0030510D">
            <w:pPr>
              <w:jc w:val="center"/>
              <w:rPr>
                <w:b/>
                <w:sz w:val="20"/>
                <w:szCs w:val="20"/>
              </w:rPr>
            </w:pPr>
            <w:r w:rsidRPr="00F22D86">
              <w:rPr>
                <w:b/>
                <w:sz w:val="20"/>
                <w:szCs w:val="20"/>
              </w:rPr>
              <w:t>VALOR TOTAL DE ATÉ R$</w:t>
            </w:r>
          </w:p>
        </w:tc>
        <w:tc>
          <w:tcPr>
            <w:tcW w:w="1559" w:type="dxa"/>
            <w:gridSpan w:val="2"/>
            <w:tcBorders>
              <w:top w:val="single" w:sz="12" w:space="0" w:color="auto"/>
              <w:left w:val="single" w:sz="12" w:space="0" w:color="auto"/>
              <w:bottom w:val="single" w:sz="12" w:space="0" w:color="auto"/>
              <w:right w:val="single" w:sz="12" w:space="0" w:color="auto"/>
            </w:tcBorders>
          </w:tcPr>
          <w:p w14:paraId="52BBF555" w14:textId="77777777" w:rsidR="00F22D86" w:rsidRPr="00F22D86" w:rsidRDefault="00F22D86" w:rsidP="0030510D">
            <w:pPr>
              <w:jc w:val="center"/>
              <w:rPr>
                <w:b/>
                <w:sz w:val="20"/>
                <w:szCs w:val="20"/>
              </w:rPr>
            </w:pPr>
            <w:r w:rsidRPr="00F22D86">
              <w:rPr>
                <w:b/>
                <w:sz w:val="20"/>
                <w:szCs w:val="20"/>
              </w:rPr>
              <w:t>417.800,00</w:t>
            </w:r>
          </w:p>
        </w:tc>
      </w:tr>
    </w:tbl>
    <w:p w14:paraId="47231D60" w14:textId="77777777" w:rsidR="00F22D86" w:rsidRPr="00F22D86" w:rsidRDefault="00F22D86" w:rsidP="00F22D86">
      <w:pPr>
        <w:tabs>
          <w:tab w:val="left" w:pos="11624"/>
          <w:tab w:val="left" w:pos="11907"/>
        </w:tabs>
        <w:rPr>
          <w:sz w:val="20"/>
          <w:szCs w:val="20"/>
        </w:rPr>
      </w:pPr>
    </w:p>
    <w:p w14:paraId="3B02D217" w14:textId="77777777" w:rsidR="00367541" w:rsidRPr="00130366" w:rsidRDefault="00367541" w:rsidP="004E1851">
      <w:pPr>
        <w:pStyle w:val="Ttulo"/>
        <w:jc w:val="left"/>
        <w:rPr>
          <w:b w:val="0"/>
          <w:sz w:val="22"/>
          <w:szCs w:val="22"/>
        </w:rPr>
      </w:pPr>
    </w:p>
    <w:p w14:paraId="07E40484" w14:textId="4FFFF490" w:rsidR="00355537" w:rsidRPr="001D381D" w:rsidRDefault="0057633D" w:rsidP="001E342E">
      <w:pPr>
        <w:autoSpaceDE w:val="0"/>
        <w:autoSpaceDN w:val="0"/>
        <w:adjustRightInd w:val="0"/>
        <w:jc w:val="both"/>
        <w:rPr>
          <w:sz w:val="20"/>
          <w:szCs w:val="20"/>
        </w:rPr>
      </w:pPr>
      <w:r w:rsidRPr="001D381D">
        <w:rPr>
          <w:sz w:val="20"/>
          <w:szCs w:val="20"/>
        </w:rPr>
        <w:t xml:space="preserve">   </w:t>
      </w:r>
      <w:r w:rsidR="006616C6" w:rsidRPr="001D381D">
        <w:rPr>
          <w:sz w:val="20"/>
          <w:szCs w:val="20"/>
        </w:rPr>
        <w:t xml:space="preserve">Em conformidade com o Edital </w:t>
      </w:r>
      <w:proofErr w:type="gramStart"/>
      <w:r w:rsidR="004B21C6" w:rsidRPr="001D381D">
        <w:rPr>
          <w:sz w:val="20"/>
          <w:szCs w:val="20"/>
        </w:rPr>
        <w:t xml:space="preserve">a </w:t>
      </w:r>
      <w:r w:rsidR="001D381D" w:rsidRPr="001D381D">
        <w:rPr>
          <w:sz w:val="20"/>
          <w:szCs w:val="20"/>
        </w:rPr>
        <w:t xml:space="preserve"> realização</w:t>
      </w:r>
      <w:proofErr w:type="gramEnd"/>
      <w:r w:rsidR="001D381D" w:rsidRPr="001D381D">
        <w:rPr>
          <w:sz w:val="20"/>
          <w:szCs w:val="20"/>
        </w:rPr>
        <w:t xml:space="preserve"> dos serviços será parcelada, periodicamente o Município solicitará a quantidade necessitada, devendo o licitante vencedor providenciar em até 10 (dez) dias após cada solicitação</w:t>
      </w:r>
      <w:r w:rsidR="001D381D" w:rsidRPr="001D381D">
        <w:rPr>
          <w:b/>
          <w:sz w:val="20"/>
          <w:szCs w:val="20"/>
        </w:rPr>
        <w:t>/</w:t>
      </w:r>
      <w:r w:rsidR="001D381D" w:rsidRPr="001D381D">
        <w:rPr>
          <w:bCs/>
          <w:sz w:val="20"/>
          <w:szCs w:val="20"/>
        </w:rPr>
        <w:t>ordem de serviço</w:t>
      </w:r>
      <w:r w:rsidR="00AC1C9C" w:rsidRPr="001D381D">
        <w:rPr>
          <w:sz w:val="20"/>
          <w:szCs w:val="20"/>
        </w:rPr>
        <w:t xml:space="preserve"> </w:t>
      </w:r>
      <w:r w:rsidR="001D381D" w:rsidRPr="001D381D">
        <w:rPr>
          <w:sz w:val="20"/>
          <w:szCs w:val="20"/>
        </w:rPr>
        <w:t>O pagamento será efetuado em até 10 dias após a realização dos serviços, tendo em conta a quantidade efetuada, mediante a apresentação de nota fiscal e a emissão de laudo pelo Setor de Engenharia do Município. Somente será paga a quantidade efetivamente executada. O pagamento será efetuado em conta corrente, em banco, número e agência, indicados pelo fornecedor na proposta vencedora ajustada ao lance</w:t>
      </w:r>
      <w:r w:rsidR="001E342E" w:rsidRPr="001D381D">
        <w:rPr>
          <w:sz w:val="20"/>
          <w:szCs w:val="20"/>
        </w:rPr>
        <w:t>.</w:t>
      </w:r>
    </w:p>
    <w:p w14:paraId="658F8F30" w14:textId="77777777" w:rsidR="001E342E" w:rsidRPr="00AC1C9C" w:rsidRDefault="001E342E" w:rsidP="001E342E">
      <w:pPr>
        <w:autoSpaceDE w:val="0"/>
        <w:autoSpaceDN w:val="0"/>
        <w:adjustRightInd w:val="0"/>
        <w:jc w:val="both"/>
        <w:rPr>
          <w:b/>
          <w:bCs/>
          <w:sz w:val="22"/>
          <w:szCs w:val="22"/>
        </w:rPr>
      </w:pPr>
    </w:p>
    <w:p w14:paraId="518DF01A" w14:textId="45485407" w:rsidR="004A4C5C" w:rsidRPr="00AC1C9C" w:rsidRDefault="00353E85" w:rsidP="00130366">
      <w:pPr>
        <w:jc w:val="center"/>
        <w:rPr>
          <w:b/>
          <w:bCs/>
          <w:sz w:val="20"/>
          <w:szCs w:val="20"/>
        </w:rPr>
      </w:pPr>
      <w:r w:rsidRPr="00AC1C9C">
        <w:rPr>
          <w:b/>
          <w:bCs/>
          <w:sz w:val="20"/>
          <w:szCs w:val="20"/>
        </w:rPr>
        <w:t xml:space="preserve">GABINETE DO PREFEITO MUNICIPAL DE COTIPORÃ, </w:t>
      </w:r>
      <w:r w:rsidR="001D381D">
        <w:rPr>
          <w:b/>
          <w:bCs/>
          <w:sz w:val="20"/>
          <w:szCs w:val="20"/>
        </w:rPr>
        <w:t>19 de novembro de 2025</w:t>
      </w:r>
    </w:p>
    <w:p w14:paraId="4D40FF78" w14:textId="77777777" w:rsidR="004A07C1" w:rsidRPr="00AC1C9C" w:rsidRDefault="004A07C1" w:rsidP="004E1851">
      <w:pPr>
        <w:rPr>
          <w:sz w:val="20"/>
          <w:szCs w:val="20"/>
        </w:rPr>
      </w:pPr>
    </w:p>
    <w:p w14:paraId="51957942" w14:textId="77777777" w:rsidR="004A07C1" w:rsidRPr="00AC1C9C" w:rsidRDefault="004A07C1" w:rsidP="004E1851">
      <w:pPr>
        <w:rPr>
          <w:sz w:val="20"/>
          <w:szCs w:val="20"/>
        </w:rPr>
      </w:pPr>
    </w:p>
    <w:p w14:paraId="4FF3BFFF" w14:textId="77777777" w:rsidR="00551D4D" w:rsidRDefault="00551D4D" w:rsidP="004E1851">
      <w:pPr>
        <w:tabs>
          <w:tab w:val="left" w:pos="3381"/>
        </w:tabs>
        <w:rPr>
          <w:b/>
          <w:sz w:val="20"/>
          <w:szCs w:val="20"/>
        </w:rPr>
      </w:pPr>
    </w:p>
    <w:p w14:paraId="2901841B" w14:textId="77777777" w:rsidR="001E342E" w:rsidRPr="00AC1C9C" w:rsidRDefault="001E342E" w:rsidP="004E1851">
      <w:pPr>
        <w:tabs>
          <w:tab w:val="left" w:pos="3381"/>
        </w:tabs>
        <w:rPr>
          <w:b/>
          <w:sz w:val="20"/>
          <w:szCs w:val="20"/>
        </w:rPr>
      </w:pPr>
    </w:p>
    <w:p w14:paraId="55198B61" w14:textId="77777777" w:rsidR="00551D4D" w:rsidRPr="00AC1C9C" w:rsidRDefault="00551D4D" w:rsidP="004E1851">
      <w:pPr>
        <w:rPr>
          <w:b/>
          <w:sz w:val="20"/>
          <w:szCs w:val="20"/>
        </w:rPr>
      </w:pPr>
    </w:p>
    <w:p w14:paraId="5004E333" w14:textId="246ADB8C" w:rsidR="00353E85" w:rsidRPr="00AC1C9C" w:rsidRDefault="001D381D" w:rsidP="00130366">
      <w:pPr>
        <w:jc w:val="center"/>
        <w:rPr>
          <w:b/>
          <w:sz w:val="20"/>
          <w:szCs w:val="20"/>
        </w:rPr>
      </w:pPr>
      <w:r>
        <w:rPr>
          <w:b/>
          <w:sz w:val="20"/>
          <w:szCs w:val="20"/>
        </w:rPr>
        <w:t>JOSÉ CARLOS BREDA</w:t>
      </w:r>
    </w:p>
    <w:p w14:paraId="668D08FF" w14:textId="32754953" w:rsidR="00F7520E" w:rsidRPr="00AC1C9C" w:rsidRDefault="009B0C86" w:rsidP="00130366">
      <w:pPr>
        <w:jc w:val="center"/>
        <w:rPr>
          <w:sz w:val="20"/>
          <w:szCs w:val="20"/>
        </w:rPr>
      </w:pPr>
      <w:r w:rsidRPr="00AC1C9C">
        <w:rPr>
          <w:sz w:val="20"/>
          <w:szCs w:val="20"/>
        </w:rPr>
        <w:t>Prefeit</w:t>
      </w:r>
      <w:r w:rsidR="00E10C1B" w:rsidRPr="00AC1C9C">
        <w:rPr>
          <w:sz w:val="20"/>
          <w:szCs w:val="20"/>
        </w:rPr>
        <w:t>o</w:t>
      </w:r>
      <w:r w:rsidRPr="00AC1C9C">
        <w:rPr>
          <w:sz w:val="20"/>
          <w:szCs w:val="20"/>
        </w:rPr>
        <w:t xml:space="preserve"> </w:t>
      </w:r>
      <w:r w:rsidR="004A07C1" w:rsidRPr="00AC1C9C">
        <w:rPr>
          <w:sz w:val="20"/>
          <w:szCs w:val="20"/>
        </w:rPr>
        <w:t>De Cotiporã</w:t>
      </w:r>
      <w:r w:rsidR="001E342E">
        <w:rPr>
          <w:sz w:val="20"/>
          <w:szCs w:val="20"/>
        </w:rPr>
        <w:t xml:space="preserve"> </w:t>
      </w:r>
    </w:p>
    <w:sectPr w:rsidR="00F7520E" w:rsidRPr="00AC1C9C" w:rsidSect="00256357">
      <w:headerReference w:type="default" r:id="rId8"/>
      <w:footerReference w:type="default" r:id="rId9"/>
      <w:pgSz w:w="11906" w:h="16838"/>
      <w:pgMar w:top="2383" w:right="707" w:bottom="1417" w:left="851"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59A82" w14:textId="77777777" w:rsidR="009B1AC6" w:rsidRDefault="009B1AC6" w:rsidP="00965D67">
      <w:r>
        <w:separator/>
      </w:r>
    </w:p>
  </w:endnote>
  <w:endnote w:type="continuationSeparator" w:id="0">
    <w:p w14:paraId="7C24841E" w14:textId="77777777" w:rsidR="009B1AC6" w:rsidRDefault="009B1AC6"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haroni">
    <w:altName w:val="Times New Roman"/>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3A7FD" w14:textId="77777777" w:rsidR="00965D67" w:rsidRPr="008F42AA" w:rsidRDefault="00965D67" w:rsidP="00965D67">
    <w:pPr>
      <w:pStyle w:val="Rodap"/>
      <w:jc w:val="center"/>
      <w:rPr>
        <w:rFonts w:ascii="Arial Narrow" w:hAnsi="Arial Narrow" w:cs="Miriam Fixed"/>
        <w:sz w:val="20"/>
        <w:szCs w:val="20"/>
      </w:rPr>
    </w:pPr>
    <w:r w:rsidRPr="008F42AA">
      <w:rPr>
        <w:rFonts w:ascii="Arial Narrow" w:hAnsi="Arial Narrow" w:cs="Miriam Fixed"/>
        <w:sz w:val="20"/>
        <w:szCs w:val="20"/>
      </w:rPr>
      <w:t xml:space="preserve">RUA SILVEIRA MARTINS, 163 – </w:t>
    </w:r>
    <w:r w:rsidR="000719BE">
      <w:rPr>
        <w:rFonts w:ascii="Arial Narrow" w:hAnsi="Arial Narrow" w:cs="Miriam Fixed"/>
        <w:sz w:val="20"/>
        <w:szCs w:val="20"/>
      </w:rPr>
      <w:t>TELE</w:t>
    </w:r>
    <w:r w:rsidRPr="008F42AA">
      <w:rPr>
        <w:rFonts w:ascii="Arial Narrow" w:hAnsi="Arial Narrow" w:cs="Miriam Fixed"/>
        <w:sz w:val="20"/>
        <w:szCs w:val="20"/>
      </w:rPr>
      <w:t xml:space="preserve">FONE (54)3446 2800 – CNPJ: 90.898.487/0001-64 </w:t>
    </w:r>
  </w:p>
  <w:p w14:paraId="6C9049A8" w14:textId="77777777" w:rsidR="00965D67" w:rsidRPr="008F42AA" w:rsidRDefault="000719BE" w:rsidP="00965D67">
    <w:pPr>
      <w:pStyle w:val="Rodap"/>
      <w:jc w:val="center"/>
      <w:rPr>
        <w:rFonts w:ascii="Arial Narrow" w:hAnsi="Arial Narrow" w:cs="Miriam Fixed"/>
        <w:sz w:val="20"/>
        <w:szCs w:val="20"/>
        <w:lang w:val="en-US"/>
      </w:rPr>
    </w:pPr>
    <w:hyperlink r:id="rId1" w:history="1">
      <w:r w:rsidRPr="00AD4BE0">
        <w:rPr>
          <w:rStyle w:val="Hyperlink"/>
          <w:rFonts w:ascii="Arial Narrow" w:hAnsi="Arial Narrow" w:cs="Miriam Fixed"/>
          <w:sz w:val="20"/>
          <w:szCs w:val="20"/>
          <w:lang w:val="en-US"/>
        </w:rPr>
        <w:t>www.cotipora.rs.gov.br</w:t>
      </w:r>
    </w:hyperlink>
    <w:r>
      <w:rPr>
        <w:rFonts w:ascii="Arial Narrow" w:hAnsi="Arial Narrow" w:cs="Miriam Fixed"/>
        <w:sz w:val="20"/>
        <w:szCs w:val="20"/>
        <w:lang w:val="en-US"/>
      </w:rPr>
      <w:t xml:space="preserve"> </w:t>
    </w:r>
    <w:r w:rsidR="00965D67" w:rsidRPr="008F42AA">
      <w:rPr>
        <w:rFonts w:ascii="Arial Narrow" w:hAnsi="Arial Narrow" w:cs="Miriam Fixed"/>
        <w:sz w:val="20"/>
        <w:szCs w:val="20"/>
        <w:lang w:val="en-US"/>
      </w:rPr>
      <w:t xml:space="preserve"> </w:t>
    </w:r>
    <w:r w:rsidR="00042173" w:rsidRPr="008F42AA">
      <w:rPr>
        <w:rFonts w:ascii="Arial Narrow" w:hAnsi="Arial Narrow" w:cs="Miriam Fixed"/>
        <w:sz w:val="20"/>
        <w:szCs w:val="20"/>
        <w:lang w:val="en-US"/>
      </w:rPr>
      <w:t xml:space="preserve">- </w:t>
    </w:r>
    <w:r w:rsidR="00965D67" w:rsidRPr="008F42AA">
      <w:rPr>
        <w:rFonts w:ascii="Arial Narrow" w:hAnsi="Arial Narrow" w:cs="Miriam Fixed"/>
        <w:sz w:val="20"/>
        <w:szCs w:val="20"/>
        <w:lang w:val="en-US"/>
      </w:rPr>
      <w:t>CEP: 95.335-000 – COTIPORÃ/RS</w:t>
    </w:r>
    <w:r>
      <w:rPr>
        <w:rFonts w:ascii="Arial Narrow" w:hAnsi="Arial Narrow" w:cs="Miriam Fixed"/>
        <w:sz w:val="20"/>
        <w:szCs w:val="20"/>
        <w:lang w:val="en-US"/>
      </w:rPr>
      <w:t>.</w:t>
    </w:r>
  </w:p>
  <w:p w14:paraId="7666AD6F" w14:textId="77777777" w:rsidR="00965D67" w:rsidRPr="0067203A" w:rsidRDefault="00965D67">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7E8F3" w14:textId="77777777" w:rsidR="009B1AC6" w:rsidRDefault="009B1AC6" w:rsidP="00965D67">
      <w:r>
        <w:separator/>
      </w:r>
    </w:p>
  </w:footnote>
  <w:footnote w:type="continuationSeparator" w:id="0">
    <w:p w14:paraId="6FCEE0EE" w14:textId="77777777" w:rsidR="009B1AC6" w:rsidRDefault="009B1AC6"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F82FC" w14:textId="77777777" w:rsidR="00BF593D" w:rsidRPr="00855096" w:rsidRDefault="00BF593D" w:rsidP="00BF593D">
    <w:pPr>
      <w:pStyle w:val="Cabealho"/>
      <w:rPr>
        <w:rFonts w:ascii="Aharoni" w:hAnsi="Aharoni" w:cs="Aharoni"/>
        <w:sz w:val="26"/>
        <w:szCs w:val="26"/>
      </w:rPr>
    </w:pPr>
    <w:r w:rsidRPr="00855096">
      <w:rPr>
        <w:rFonts w:ascii="Aharoni" w:hAnsi="Aharoni" w:cs="Aharoni"/>
        <w:noProof/>
        <w:sz w:val="30"/>
        <w:szCs w:val="30"/>
        <w:lang w:eastAsia="pt-BR"/>
      </w:rPr>
      <w:drawing>
        <wp:anchor distT="0" distB="0" distL="114300" distR="114300" simplePos="0" relativeHeight="251658240" behindDoc="0" locked="0" layoutInCell="1" allowOverlap="1" wp14:anchorId="3416D38F" wp14:editId="701B6EBB">
          <wp:simplePos x="0" y="0"/>
          <wp:positionH relativeFrom="column">
            <wp:posOffset>583565</wp:posOffset>
          </wp:positionH>
          <wp:positionV relativeFrom="paragraph">
            <wp:posOffset>-40005</wp:posOffset>
          </wp:positionV>
          <wp:extent cx="5400675" cy="1314450"/>
          <wp:effectExtent l="0" t="0" r="0" b="0"/>
          <wp:wrapNone/>
          <wp:docPr id="2110391026" name="Imagem 211039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1314450"/>
                  </a:xfrm>
                  <a:prstGeom prst="rect">
                    <a:avLst/>
                  </a:prstGeom>
                  <a:noFill/>
                  <a:ln>
                    <a:noFill/>
                  </a:ln>
                </pic:spPr>
              </pic:pic>
            </a:graphicData>
          </a:graphic>
        </wp:anchor>
      </w:drawing>
    </w:r>
    <w:r>
      <w:rPr>
        <w:rFonts w:ascii="Aharoni" w:hAnsi="Aharoni" w:cs="Aharoni"/>
        <w:sz w:val="30"/>
        <w:szCs w:val="30"/>
      </w:rPr>
      <w:t xml:space="preserve">                       </w:t>
    </w:r>
  </w:p>
  <w:p w14:paraId="0DF0BD17" w14:textId="77777777" w:rsidR="00965D67" w:rsidRDefault="00965D67" w:rsidP="00BF593D">
    <w:pPr>
      <w:pStyle w:val="Cabealho"/>
    </w:pPr>
  </w:p>
  <w:p w14:paraId="76777BFA" w14:textId="77777777" w:rsidR="009A75A5" w:rsidRDefault="009A75A5" w:rsidP="00BF593D">
    <w:pPr>
      <w:pStyle w:val="Cabealho"/>
    </w:pPr>
  </w:p>
  <w:p w14:paraId="755E6BF2" w14:textId="77777777" w:rsidR="009A75A5" w:rsidRDefault="009A75A5" w:rsidP="00BF593D">
    <w:pPr>
      <w:pStyle w:val="Cabealho"/>
    </w:pPr>
  </w:p>
  <w:p w14:paraId="7BC2F7FE" w14:textId="77777777" w:rsidR="009A75A5" w:rsidRDefault="009A75A5" w:rsidP="00BF593D">
    <w:pPr>
      <w:pStyle w:val="Cabealho"/>
    </w:pPr>
  </w:p>
  <w:p w14:paraId="745B9195" w14:textId="77777777" w:rsidR="009A75A5" w:rsidRDefault="009A75A5" w:rsidP="00BF593D">
    <w:pPr>
      <w:pStyle w:val="Cabealho"/>
    </w:pPr>
  </w:p>
  <w:p w14:paraId="585C3985" w14:textId="77777777" w:rsidR="009A75A5" w:rsidRDefault="009A75A5" w:rsidP="00BF593D">
    <w:pPr>
      <w:pStyle w:val="Cabealho"/>
    </w:pPr>
  </w:p>
  <w:p w14:paraId="50DE7C91" w14:textId="77777777" w:rsidR="009A75A5" w:rsidRPr="00BF593D" w:rsidRDefault="009A75A5" w:rsidP="00BF593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9D01DE8"/>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CA659B"/>
    <w:multiLevelType w:val="hybridMultilevel"/>
    <w:tmpl w:val="961A08C4"/>
    <w:lvl w:ilvl="0" w:tplc="0416000F">
      <w:start w:val="1"/>
      <w:numFmt w:val="decimal"/>
      <w:lvlText w:val="%1."/>
      <w:lvlJc w:val="lef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 w15:restartNumberingAfterBreak="0">
    <w:nsid w:val="106F1C41"/>
    <w:multiLevelType w:val="hybridMultilevel"/>
    <w:tmpl w:val="B25E61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C862FC"/>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1E24366"/>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2671D20"/>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3D34155"/>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55A4EE8"/>
    <w:multiLevelType w:val="hybridMultilevel"/>
    <w:tmpl w:val="B93A9116"/>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0" w15:restartNumberingAfterBreak="0">
    <w:nsid w:val="1721707F"/>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C3564ED"/>
    <w:multiLevelType w:val="hybridMultilevel"/>
    <w:tmpl w:val="E996AB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3"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4235CB1"/>
    <w:multiLevelType w:val="hybridMultilevel"/>
    <w:tmpl w:val="571AE0AC"/>
    <w:lvl w:ilvl="0" w:tplc="0416000F">
      <w:start w:val="1"/>
      <w:numFmt w:val="decimal"/>
      <w:lvlText w:val="%1."/>
      <w:lvlJc w:val="left"/>
      <w:pPr>
        <w:ind w:left="890" w:hanging="360"/>
      </w:pPr>
    </w:lvl>
    <w:lvl w:ilvl="1" w:tplc="04160019" w:tentative="1">
      <w:start w:val="1"/>
      <w:numFmt w:val="lowerLetter"/>
      <w:lvlText w:val="%2."/>
      <w:lvlJc w:val="left"/>
      <w:pPr>
        <w:ind w:left="1610" w:hanging="360"/>
      </w:pPr>
    </w:lvl>
    <w:lvl w:ilvl="2" w:tplc="0416001B" w:tentative="1">
      <w:start w:val="1"/>
      <w:numFmt w:val="lowerRoman"/>
      <w:lvlText w:val="%3."/>
      <w:lvlJc w:val="right"/>
      <w:pPr>
        <w:ind w:left="2330" w:hanging="180"/>
      </w:pPr>
    </w:lvl>
    <w:lvl w:ilvl="3" w:tplc="0416000F" w:tentative="1">
      <w:start w:val="1"/>
      <w:numFmt w:val="decimal"/>
      <w:lvlText w:val="%4."/>
      <w:lvlJc w:val="left"/>
      <w:pPr>
        <w:ind w:left="3050" w:hanging="360"/>
      </w:pPr>
    </w:lvl>
    <w:lvl w:ilvl="4" w:tplc="04160019" w:tentative="1">
      <w:start w:val="1"/>
      <w:numFmt w:val="lowerLetter"/>
      <w:lvlText w:val="%5."/>
      <w:lvlJc w:val="left"/>
      <w:pPr>
        <w:ind w:left="3770" w:hanging="360"/>
      </w:pPr>
    </w:lvl>
    <w:lvl w:ilvl="5" w:tplc="0416001B" w:tentative="1">
      <w:start w:val="1"/>
      <w:numFmt w:val="lowerRoman"/>
      <w:lvlText w:val="%6."/>
      <w:lvlJc w:val="right"/>
      <w:pPr>
        <w:ind w:left="4490" w:hanging="180"/>
      </w:pPr>
    </w:lvl>
    <w:lvl w:ilvl="6" w:tplc="0416000F" w:tentative="1">
      <w:start w:val="1"/>
      <w:numFmt w:val="decimal"/>
      <w:lvlText w:val="%7."/>
      <w:lvlJc w:val="left"/>
      <w:pPr>
        <w:ind w:left="5210" w:hanging="360"/>
      </w:pPr>
    </w:lvl>
    <w:lvl w:ilvl="7" w:tplc="04160019" w:tentative="1">
      <w:start w:val="1"/>
      <w:numFmt w:val="lowerLetter"/>
      <w:lvlText w:val="%8."/>
      <w:lvlJc w:val="left"/>
      <w:pPr>
        <w:ind w:left="5930" w:hanging="360"/>
      </w:pPr>
    </w:lvl>
    <w:lvl w:ilvl="8" w:tplc="0416001B" w:tentative="1">
      <w:start w:val="1"/>
      <w:numFmt w:val="lowerRoman"/>
      <w:lvlText w:val="%9."/>
      <w:lvlJc w:val="right"/>
      <w:pPr>
        <w:ind w:left="6650" w:hanging="180"/>
      </w:pPr>
    </w:lvl>
  </w:abstractNum>
  <w:abstractNum w:abstractNumId="15" w15:restartNumberingAfterBreak="0">
    <w:nsid w:val="4388685D"/>
    <w:multiLevelType w:val="hybridMultilevel"/>
    <w:tmpl w:val="246805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60914A9"/>
    <w:multiLevelType w:val="hybridMultilevel"/>
    <w:tmpl w:val="B25E61D2"/>
    <w:lvl w:ilvl="0" w:tplc="0416000F">
      <w:start w:val="1"/>
      <w:numFmt w:val="decimal"/>
      <w:lvlText w:val="%1."/>
      <w:lvlJc w:val="left"/>
      <w:pPr>
        <w:ind w:left="786"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7" w15:restartNumberingAfterBreak="0">
    <w:nsid w:val="55D93835"/>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8922C61"/>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9426F6B"/>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AE07D61"/>
    <w:multiLevelType w:val="hybridMultilevel"/>
    <w:tmpl w:val="81D68E9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1"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6F015E4"/>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81B664F"/>
    <w:multiLevelType w:val="hybridMultilevel"/>
    <w:tmpl w:val="BE38163C"/>
    <w:lvl w:ilvl="0" w:tplc="49D6F23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948152B"/>
    <w:multiLevelType w:val="hybridMultilevel"/>
    <w:tmpl w:val="71E84EE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6" w15:restartNumberingAfterBreak="0">
    <w:nsid w:val="79D36DA2"/>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B386470"/>
    <w:multiLevelType w:val="hybridMultilevel"/>
    <w:tmpl w:val="C2E441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D1C6E82"/>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88205135">
    <w:abstractNumId w:val="12"/>
  </w:num>
  <w:num w:numId="2" w16cid:durableId="1645311690">
    <w:abstractNumId w:val="0"/>
  </w:num>
  <w:num w:numId="3" w16cid:durableId="389429610">
    <w:abstractNumId w:val="22"/>
  </w:num>
  <w:num w:numId="4" w16cid:durableId="1713263738">
    <w:abstractNumId w:val="21"/>
  </w:num>
  <w:num w:numId="5" w16cid:durableId="1811946537">
    <w:abstractNumId w:val="7"/>
  </w:num>
  <w:num w:numId="6" w16cid:durableId="1872919267">
    <w:abstractNumId w:val="27"/>
  </w:num>
  <w:num w:numId="7" w16cid:durableId="1690330688">
    <w:abstractNumId w:val="13"/>
  </w:num>
  <w:num w:numId="8" w16cid:durableId="23604182">
    <w:abstractNumId w:val="15"/>
  </w:num>
  <w:num w:numId="9" w16cid:durableId="189222377">
    <w:abstractNumId w:val="28"/>
  </w:num>
  <w:num w:numId="10" w16cid:durableId="1563906142">
    <w:abstractNumId w:val="2"/>
  </w:num>
  <w:num w:numId="11" w16cid:durableId="887763157">
    <w:abstractNumId w:val="25"/>
  </w:num>
  <w:num w:numId="12" w16cid:durableId="1484128784">
    <w:abstractNumId w:val="20"/>
  </w:num>
  <w:num w:numId="13" w16cid:durableId="759722171">
    <w:abstractNumId w:val="29"/>
  </w:num>
  <w:num w:numId="14" w16cid:durableId="433475585">
    <w:abstractNumId w:val="6"/>
  </w:num>
  <w:num w:numId="15" w16cid:durableId="810633351">
    <w:abstractNumId w:val="16"/>
  </w:num>
  <w:num w:numId="16" w16cid:durableId="510878887">
    <w:abstractNumId w:val="3"/>
  </w:num>
  <w:num w:numId="17" w16cid:durableId="162866592">
    <w:abstractNumId w:val="14"/>
  </w:num>
  <w:num w:numId="18" w16cid:durableId="1755781434">
    <w:abstractNumId w:val="11"/>
  </w:num>
  <w:num w:numId="19" w16cid:durableId="74593742">
    <w:abstractNumId w:val="9"/>
  </w:num>
  <w:num w:numId="20" w16cid:durableId="954676545">
    <w:abstractNumId w:val="24"/>
  </w:num>
  <w:num w:numId="21" w16cid:durableId="1908025797">
    <w:abstractNumId w:val="8"/>
  </w:num>
  <w:num w:numId="22" w16cid:durableId="1569222824">
    <w:abstractNumId w:val="23"/>
  </w:num>
  <w:num w:numId="23" w16cid:durableId="1815873336">
    <w:abstractNumId w:val="19"/>
  </w:num>
  <w:num w:numId="24" w16cid:durableId="1603950960">
    <w:abstractNumId w:val="18"/>
  </w:num>
  <w:num w:numId="25" w16cid:durableId="1704017923">
    <w:abstractNumId w:val="17"/>
  </w:num>
  <w:num w:numId="26" w16cid:durableId="401485538">
    <w:abstractNumId w:val="4"/>
  </w:num>
  <w:num w:numId="27" w16cid:durableId="2015716190">
    <w:abstractNumId w:val="1"/>
  </w:num>
  <w:num w:numId="28" w16cid:durableId="260068293">
    <w:abstractNumId w:val="5"/>
  </w:num>
  <w:num w:numId="29" w16cid:durableId="2094356636">
    <w:abstractNumId w:val="10"/>
  </w:num>
  <w:num w:numId="30" w16cid:durableId="10373139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00B"/>
    <w:rsid w:val="000135D3"/>
    <w:rsid w:val="00030228"/>
    <w:rsid w:val="00040713"/>
    <w:rsid w:val="00042173"/>
    <w:rsid w:val="000434F2"/>
    <w:rsid w:val="00043F17"/>
    <w:rsid w:val="000719BE"/>
    <w:rsid w:val="00074B53"/>
    <w:rsid w:val="0008465D"/>
    <w:rsid w:val="00095166"/>
    <w:rsid w:val="00095B1A"/>
    <w:rsid w:val="000C1472"/>
    <w:rsid w:val="000C2DB9"/>
    <w:rsid w:val="000C68A2"/>
    <w:rsid w:val="000D44E7"/>
    <w:rsid w:val="000E47FC"/>
    <w:rsid w:val="0012624A"/>
    <w:rsid w:val="00130366"/>
    <w:rsid w:val="00134260"/>
    <w:rsid w:val="00134E1B"/>
    <w:rsid w:val="00151364"/>
    <w:rsid w:val="001634F1"/>
    <w:rsid w:val="001658CB"/>
    <w:rsid w:val="001911E2"/>
    <w:rsid w:val="001D381D"/>
    <w:rsid w:val="001D4354"/>
    <w:rsid w:val="001E0553"/>
    <w:rsid w:val="001E1672"/>
    <w:rsid w:val="001E342E"/>
    <w:rsid w:val="001E3FA0"/>
    <w:rsid w:val="00231671"/>
    <w:rsid w:val="0023217E"/>
    <w:rsid w:val="0023218B"/>
    <w:rsid w:val="002327E9"/>
    <w:rsid w:val="00240FF3"/>
    <w:rsid w:val="00242345"/>
    <w:rsid w:val="00246B68"/>
    <w:rsid w:val="002470CD"/>
    <w:rsid w:val="00256357"/>
    <w:rsid w:val="00261B06"/>
    <w:rsid w:val="00262171"/>
    <w:rsid w:val="00281FB4"/>
    <w:rsid w:val="00290A50"/>
    <w:rsid w:val="002A2994"/>
    <w:rsid w:val="002B1B11"/>
    <w:rsid w:val="002B4451"/>
    <w:rsid w:val="002B6395"/>
    <w:rsid w:val="002D28E3"/>
    <w:rsid w:val="002D583F"/>
    <w:rsid w:val="002E71F5"/>
    <w:rsid w:val="002F2D71"/>
    <w:rsid w:val="00311DF6"/>
    <w:rsid w:val="00311ED2"/>
    <w:rsid w:val="00327934"/>
    <w:rsid w:val="003443EE"/>
    <w:rsid w:val="003450BA"/>
    <w:rsid w:val="00347B53"/>
    <w:rsid w:val="003512C9"/>
    <w:rsid w:val="00353E85"/>
    <w:rsid w:val="00355537"/>
    <w:rsid w:val="00367541"/>
    <w:rsid w:val="00386F93"/>
    <w:rsid w:val="00387851"/>
    <w:rsid w:val="00395380"/>
    <w:rsid w:val="003973ED"/>
    <w:rsid w:val="003A5F1A"/>
    <w:rsid w:val="003A6DFB"/>
    <w:rsid w:val="003B2A18"/>
    <w:rsid w:val="003C2A24"/>
    <w:rsid w:val="003C4477"/>
    <w:rsid w:val="003F1157"/>
    <w:rsid w:val="003F43FD"/>
    <w:rsid w:val="00426312"/>
    <w:rsid w:val="00431A3C"/>
    <w:rsid w:val="00432890"/>
    <w:rsid w:val="004438C6"/>
    <w:rsid w:val="00447C23"/>
    <w:rsid w:val="00454C29"/>
    <w:rsid w:val="00455FC8"/>
    <w:rsid w:val="004725EA"/>
    <w:rsid w:val="004A07C1"/>
    <w:rsid w:val="004A4C5C"/>
    <w:rsid w:val="004B21C6"/>
    <w:rsid w:val="004D4704"/>
    <w:rsid w:val="004E1851"/>
    <w:rsid w:val="004E23C7"/>
    <w:rsid w:val="004E3F9E"/>
    <w:rsid w:val="004E4651"/>
    <w:rsid w:val="00511D5A"/>
    <w:rsid w:val="00535013"/>
    <w:rsid w:val="00551D4D"/>
    <w:rsid w:val="0055368F"/>
    <w:rsid w:val="005645A3"/>
    <w:rsid w:val="0057633D"/>
    <w:rsid w:val="005806AE"/>
    <w:rsid w:val="005A005C"/>
    <w:rsid w:val="005A04F5"/>
    <w:rsid w:val="005A4FD1"/>
    <w:rsid w:val="005A68DA"/>
    <w:rsid w:val="005C663B"/>
    <w:rsid w:val="005E1223"/>
    <w:rsid w:val="005F2CE8"/>
    <w:rsid w:val="00603878"/>
    <w:rsid w:val="00606630"/>
    <w:rsid w:val="006167B2"/>
    <w:rsid w:val="00620074"/>
    <w:rsid w:val="00632A01"/>
    <w:rsid w:val="006335FA"/>
    <w:rsid w:val="00633C68"/>
    <w:rsid w:val="006360C3"/>
    <w:rsid w:val="00640269"/>
    <w:rsid w:val="00645899"/>
    <w:rsid w:val="006513E4"/>
    <w:rsid w:val="006616C6"/>
    <w:rsid w:val="00662227"/>
    <w:rsid w:val="0067203A"/>
    <w:rsid w:val="00673FFD"/>
    <w:rsid w:val="006764BB"/>
    <w:rsid w:val="00686768"/>
    <w:rsid w:val="006F4405"/>
    <w:rsid w:val="007070AD"/>
    <w:rsid w:val="00717300"/>
    <w:rsid w:val="00727348"/>
    <w:rsid w:val="0073162F"/>
    <w:rsid w:val="00740DE8"/>
    <w:rsid w:val="00750170"/>
    <w:rsid w:val="007E7AB7"/>
    <w:rsid w:val="007F0F53"/>
    <w:rsid w:val="00802D9C"/>
    <w:rsid w:val="00806257"/>
    <w:rsid w:val="00806A63"/>
    <w:rsid w:val="008250AE"/>
    <w:rsid w:val="00831F9B"/>
    <w:rsid w:val="0084175A"/>
    <w:rsid w:val="00886C3E"/>
    <w:rsid w:val="00890A65"/>
    <w:rsid w:val="00892162"/>
    <w:rsid w:val="008931A3"/>
    <w:rsid w:val="008B211A"/>
    <w:rsid w:val="008C64AA"/>
    <w:rsid w:val="008D379A"/>
    <w:rsid w:val="008E7B78"/>
    <w:rsid w:val="008E7B83"/>
    <w:rsid w:val="008F42AA"/>
    <w:rsid w:val="0090523A"/>
    <w:rsid w:val="009108CE"/>
    <w:rsid w:val="00911283"/>
    <w:rsid w:val="00924AE9"/>
    <w:rsid w:val="00924D51"/>
    <w:rsid w:val="00934585"/>
    <w:rsid w:val="00934C9B"/>
    <w:rsid w:val="009478E3"/>
    <w:rsid w:val="0095584C"/>
    <w:rsid w:val="00965D67"/>
    <w:rsid w:val="00975ADF"/>
    <w:rsid w:val="00992ADD"/>
    <w:rsid w:val="0099447B"/>
    <w:rsid w:val="009A75A5"/>
    <w:rsid w:val="009B0C86"/>
    <w:rsid w:val="009B1AC6"/>
    <w:rsid w:val="009B27E8"/>
    <w:rsid w:val="009C1B34"/>
    <w:rsid w:val="009D3A5D"/>
    <w:rsid w:val="00A075C4"/>
    <w:rsid w:val="00A2079B"/>
    <w:rsid w:val="00A34427"/>
    <w:rsid w:val="00A43530"/>
    <w:rsid w:val="00A56F19"/>
    <w:rsid w:val="00A64AF4"/>
    <w:rsid w:val="00A723D9"/>
    <w:rsid w:val="00A930CB"/>
    <w:rsid w:val="00AC0A6F"/>
    <w:rsid w:val="00AC1C9C"/>
    <w:rsid w:val="00AC675E"/>
    <w:rsid w:val="00AE66E6"/>
    <w:rsid w:val="00AF1FD5"/>
    <w:rsid w:val="00B01A4B"/>
    <w:rsid w:val="00B2442A"/>
    <w:rsid w:val="00B52BB0"/>
    <w:rsid w:val="00B52C3F"/>
    <w:rsid w:val="00B8693A"/>
    <w:rsid w:val="00BA3A10"/>
    <w:rsid w:val="00BA5F2B"/>
    <w:rsid w:val="00BB2B8B"/>
    <w:rsid w:val="00BD7519"/>
    <w:rsid w:val="00BE7749"/>
    <w:rsid w:val="00BF593D"/>
    <w:rsid w:val="00BF7616"/>
    <w:rsid w:val="00C02B75"/>
    <w:rsid w:val="00C125C2"/>
    <w:rsid w:val="00C3053E"/>
    <w:rsid w:val="00C379D9"/>
    <w:rsid w:val="00C712A1"/>
    <w:rsid w:val="00C81B5B"/>
    <w:rsid w:val="00C85192"/>
    <w:rsid w:val="00C9689B"/>
    <w:rsid w:val="00CD36C6"/>
    <w:rsid w:val="00CE0B38"/>
    <w:rsid w:val="00CE1C93"/>
    <w:rsid w:val="00CE4A68"/>
    <w:rsid w:val="00CE4CA8"/>
    <w:rsid w:val="00CF5A76"/>
    <w:rsid w:val="00D012E1"/>
    <w:rsid w:val="00D049EB"/>
    <w:rsid w:val="00D54297"/>
    <w:rsid w:val="00D74D55"/>
    <w:rsid w:val="00D77131"/>
    <w:rsid w:val="00DB46B9"/>
    <w:rsid w:val="00DB799D"/>
    <w:rsid w:val="00DC17BD"/>
    <w:rsid w:val="00DC26C7"/>
    <w:rsid w:val="00DF7EC5"/>
    <w:rsid w:val="00E00516"/>
    <w:rsid w:val="00E10C1B"/>
    <w:rsid w:val="00E12A93"/>
    <w:rsid w:val="00E1363E"/>
    <w:rsid w:val="00E13EFF"/>
    <w:rsid w:val="00E17CCC"/>
    <w:rsid w:val="00E303BD"/>
    <w:rsid w:val="00E54327"/>
    <w:rsid w:val="00E90362"/>
    <w:rsid w:val="00EB47E5"/>
    <w:rsid w:val="00EB59E8"/>
    <w:rsid w:val="00EC0872"/>
    <w:rsid w:val="00ED7470"/>
    <w:rsid w:val="00EE70D4"/>
    <w:rsid w:val="00F008D9"/>
    <w:rsid w:val="00F22638"/>
    <w:rsid w:val="00F22D86"/>
    <w:rsid w:val="00F25922"/>
    <w:rsid w:val="00F70AC8"/>
    <w:rsid w:val="00F7520E"/>
    <w:rsid w:val="00F91D5A"/>
    <w:rsid w:val="00FA2A49"/>
    <w:rsid w:val="00FA33B7"/>
    <w:rsid w:val="00FB1E27"/>
    <w:rsid w:val="00FD3A68"/>
    <w:rsid w:val="00FE1A65"/>
    <w:rsid w:val="00FE5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E407F"/>
  <w15:docId w15:val="{D443E7AD-791C-4B4F-A6BB-ADA22710B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qFormat/>
    <w:rsid w:val="009B0C86"/>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uiPriority w:val="9"/>
    <w:qFormat/>
    <w:rsid w:val="009B0C86"/>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9B0C86"/>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9B0C86"/>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9B0C8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9B0C8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9B0C8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8F42AA"/>
    <w:pPr>
      <w:spacing w:after="120"/>
    </w:pPr>
  </w:style>
  <w:style w:type="character" w:customStyle="1" w:styleId="CorpodetextoChar">
    <w:name w:val="Corpo de texto Char"/>
    <w:basedOn w:val="Fontepargpadro"/>
    <w:link w:val="Corpodetexto"/>
    <w:uiPriority w:val="99"/>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rsid w:val="008F42AA"/>
    <w:rPr>
      <w:rFonts w:eastAsiaTheme="minorEastAsia"/>
      <w:sz w:val="16"/>
      <w:szCs w:val="16"/>
      <w:lang w:eastAsia="pt-BR"/>
    </w:rPr>
  </w:style>
  <w:style w:type="paragraph" w:styleId="Textoembloco">
    <w:name w:val="Block Text"/>
    <w:basedOn w:val="Normal"/>
    <w:semiHidden/>
    <w:unhideWhenUsed/>
    <w:rsid w:val="00DC17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character" w:customStyle="1" w:styleId="TtuloChar1">
    <w:name w:val="Título Char1"/>
    <w:locked/>
    <w:rsid w:val="00431A3C"/>
    <w:rPr>
      <w:rFonts w:ascii="Arial" w:eastAsia="Times New Roman" w:hAnsi="Arial" w:cs="Times New Roman"/>
      <w:b/>
      <w:sz w:val="28"/>
      <w:szCs w:val="20"/>
      <w:lang w:eastAsia="pt-BR"/>
    </w:rPr>
  </w:style>
  <w:style w:type="character" w:styleId="Hyperlink">
    <w:name w:val="Hyperlink"/>
    <w:basedOn w:val="Fontepargpadro"/>
    <w:uiPriority w:val="99"/>
    <w:unhideWhenUsed/>
    <w:rsid w:val="000719BE"/>
    <w:rPr>
      <w:color w:val="0000FF" w:themeColor="hyperlink"/>
      <w:u w:val="single"/>
    </w:rPr>
  </w:style>
  <w:style w:type="character" w:customStyle="1" w:styleId="CabealhoChar1">
    <w:name w:val="Cabeçalho Char1"/>
    <w:locked/>
    <w:rsid w:val="00BF593D"/>
    <w:rPr>
      <w:rFonts w:ascii="Calibri" w:eastAsia="Calibri" w:hAnsi="Calibri"/>
      <w:kern w:val="1"/>
      <w:sz w:val="22"/>
      <w:szCs w:val="22"/>
      <w:lang w:eastAsia="zh-CN"/>
    </w:rPr>
  </w:style>
  <w:style w:type="character" w:customStyle="1" w:styleId="Ttulo2Char">
    <w:name w:val="Título 2 Char"/>
    <w:basedOn w:val="Fontepargpadro"/>
    <w:link w:val="Ttulo2"/>
    <w:rsid w:val="009B0C86"/>
    <w:rPr>
      <w:rFonts w:ascii="Arial" w:eastAsia="Times New Roman" w:hAnsi="Arial" w:cs="Times New Roman"/>
      <w:b/>
      <w:sz w:val="24"/>
      <w:szCs w:val="20"/>
      <w:lang w:eastAsia="pt-BR"/>
    </w:rPr>
  </w:style>
  <w:style w:type="character" w:customStyle="1" w:styleId="Ttulo3Char">
    <w:name w:val="Título 3 Char"/>
    <w:basedOn w:val="Fontepargpadro"/>
    <w:link w:val="Ttulo3"/>
    <w:uiPriority w:val="9"/>
    <w:rsid w:val="009B0C86"/>
    <w:rPr>
      <w:rFonts w:ascii="Arial" w:eastAsia="Times New Roman" w:hAnsi="Arial" w:cs="Times New Roman"/>
      <w:b/>
      <w:szCs w:val="20"/>
      <w:lang w:eastAsia="pt-BR"/>
    </w:rPr>
  </w:style>
  <w:style w:type="character" w:customStyle="1" w:styleId="Ttulo4Char">
    <w:name w:val="Título 4 Char"/>
    <w:basedOn w:val="Fontepargpadro"/>
    <w:link w:val="Ttulo4"/>
    <w:uiPriority w:val="9"/>
    <w:rsid w:val="009B0C86"/>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9B0C86"/>
    <w:rPr>
      <w:rFonts w:asciiTheme="majorHAnsi" w:eastAsiaTheme="majorEastAsia" w:hAnsiTheme="majorHAnsi" w:cstheme="majorBidi"/>
      <w:color w:val="243F60" w:themeColor="accent1" w:themeShade="7F"/>
      <w:sz w:val="24"/>
      <w:szCs w:val="24"/>
      <w:lang w:eastAsia="pt-BR"/>
    </w:rPr>
  </w:style>
  <w:style w:type="character" w:customStyle="1" w:styleId="Ttulo7Char">
    <w:name w:val="Título 7 Char"/>
    <w:basedOn w:val="Fontepargpadro"/>
    <w:link w:val="Ttulo7"/>
    <w:uiPriority w:val="9"/>
    <w:semiHidden/>
    <w:rsid w:val="009B0C86"/>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9B0C86"/>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9B0C86"/>
    <w:rPr>
      <w:rFonts w:asciiTheme="majorHAnsi" w:eastAsiaTheme="majorEastAsia" w:hAnsiTheme="majorHAnsi" w:cstheme="majorBidi"/>
      <w:i/>
      <w:iCs/>
      <w:color w:val="404040" w:themeColor="text1" w:themeTint="BF"/>
      <w:sz w:val="20"/>
      <w:szCs w:val="20"/>
      <w:lang w:eastAsia="pt-BR"/>
    </w:rPr>
  </w:style>
  <w:style w:type="paragraph" w:styleId="Corpodetexto3">
    <w:name w:val="Body Text 3"/>
    <w:basedOn w:val="Normal"/>
    <w:link w:val="Corpodetexto3Char"/>
    <w:rsid w:val="009B0C86"/>
    <w:pPr>
      <w:spacing w:after="120"/>
    </w:pPr>
    <w:rPr>
      <w:sz w:val="16"/>
      <w:szCs w:val="16"/>
    </w:rPr>
  </w:style>
  <w:style w:type="character" w:customStyle="1" w:styleId="Corpodetexto3Char">
    <w:name w:val="Corpo de texto 3 Char"/>
    <w:basedOn w:val="Fontepargpadro"/>
    <w:link w:val="Corpodetexto3"/>
    <w:rsid w:val="009B0C86"/>
    <w:rPr>
      <w:rFonts w:ascii="Times New Roman" w:eastAsia="Times New Roman" w:hAnsi="Times New Roman" w:cs="Times New Roman"/>
      <w:sz w:val="16"/>
      <w:szCs w:val="16"/>
      <w:lang w:eastAsia="pt-BR"/>
    </w:rPr>
  </w:style>
  <w:style w:type="paragraph" w:styleId="Corpodetexto2">
    <w:name w:val="Body Text 2"/>
    <w:basedOn w:val="Normal"/>
    <w:link w:val="Corpodetexto2Char"/>
    <w:unhideWhenUsed/>
    <w:rsid w:val="009B0C86"/>
    <w:pPr>
      <w:spacing w:after="120" w:line="480" w:lineRule="auto"/>
    </w:pPr>
  </w:style>
  <w:style w:type="character" w:customStyle="1" w:styleId="Corpodetexto2Char">
    <w:name w:val="Corpo de texto 2 Char"/>
    <w:basedOn w:val="Fontepargpadro"/>
    <w:link w:val="Corpodetexto2"/>
    <w:rsid w:val="009B0C86"/>
    <w:rPr>
      <w:rFonts w:ascii="Times New Roman" w:eastAsia="Times New Roman" w:hAnsi="Times New Roman" w:cs="Times New Roman"/>
      <w:sz w:val="24"/>
      <w:szCs w:val="24"/>
      <w:lang w:eastAsia="pt-BR"/>
    </w:rPr>
  </w:style>
  <w:style w:type="paragraph" w:styleId="Subttulo">
    <w:name w:val="Subtitle"/>
    <w:basedOn w:val="Normal"/>
    <w:link w:val="SubttuloChar"/>
    <w:qFormat/>
    <w:rsid w:val="009B0C86"/>
    <w:pPr>
      <w:ind w:firstLine="1418"/>
    </w:pPr>
    <w:rPr>
      <w:szCs w:val="20"/>
    </w:rPr>
  </w:style>
  <w:style w:type="character" w:customStyle="1" w:styleId="SubttuloChar">
    <w:name w:val="Subtítulo Char"/>
    <w:basedOn w:val="Fontepargpadro"/>
    <w:link w:val="Subttulo"/>
    <w:qFormat/>
    <w:rsid w:val="009B0C86"/>
    <w:rPr>
      <w:rFonts w:ascii="Times New Roman" w:eastAsia="Times New Roman" w:hAnsi="Times New Roman" w:cs="Times New Roman"/>
      <w:sz w:val="24"/>
      <w:szCs w:val="20"/>
      <w:lang w:eastAsia="pt-BR"/>
    </w:rPr>
  </w:style>
  <w:style w:type="paragraph" w:customStyle="1" w:styleId="Standard">
    <w:name w:val="Standard"/>
    <w:rsid w:val="009B0C86"/>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9B0C86"/>
    <w:pPr>
      <w:spacing w:after="200" w:line="276" w:lineRule="auto"/>
      <w:ind w:left="720"/>
      <w:contextualSpacing/>
    </w:pPr>
    <w:rPr>
      <w:sz w:val="20"/>
      <w:szCs w:val="20"/>
      <w:lang w:eastAsia="en-US"/>
    </w:rPr>
  </w:style>
  <w:style w:type="paragraph" w:customStyle="1" w:styleId="Default">
    <w:name w:val="Default"/>
    <w:rsid w:val="009B0C86"/>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9B0C86"/>
    <w:pPr>
      <w:tabs>
        <w:tab w:val="left" w:pos="2835"/>
      </w:tabs>
      <w:spacing w:before="120"/>
      <w:jc w:val="both"/>
    </w:pPr>
    <w:rPr>
      <w:rFonts w:ascii="Arial" w:hAnsi="Arial"/>
      <w:sz w:val="22"/>
    </w:rPr>
  </w:style>
  <w:style w:type="paragraph" w:styleId="NormalWeb">
    <w:name w:val="Normal (Web)"/>
    <w:basedOn w:val="Normal"/>
    <w:uiPriority w:val="99"/>
    <w:rsid w:val="009B0C86"/>
    <w:pPr>
      <w:spacing w:before="100" w:beforeAutospacing="1" w:after="100" w:afterAutospacing="1"/>
    </w:pPr>
    <w:rPr>
      <w:rFonts w:ascii="Verdana" w:hAnsi="Verdana"/>
    </w:rPr>
  </w:style>
  <w:style w:type="paragraph" w:styleId="Recuonormal">
    <w:name w:val="Normal Indent"/>
    <w:basedOn w:val="Normal"/>
    <w:rsid w:val="009B0C86"/>
    <w:pPr>
      <w:ind w:left="708"/>
    </w:pPr>
    <w:rPr>
      <w:rFonts w:ascii="Arial" w:hAnsi="Arial"/>
      <w:szCs w:val="20"/>
    </w:rPr>
  </w:style>
  <w:style w:type="paragraph" w:customStyle="1" w:styleId="WW-Textosimples">
    <w:name w:val="WW-Texto simples"/>
    <w:basedOn w:val="Normal"/>
    <w:rsid w:val="009B0C86"/>
    <w:pPr>
      <w:suppressAutoHyphens/>
    </w:pPr>
    <w:rPr>
      <w:rFonts w:ascii="Courier New" w:hAnsi="Courier New"/>
      <w:kern w:val="1"/>
      <w:sz w:val="20"/>
      <w:szCs w:val="20"/>
      <w:lang w:eastAsia="ar-SA"/>
    </w:rPr>
  </w:style>
  <w:style w:type="paragraph" w:customStyle="1" w:styleId="Citaes">
    <w:name w:val="Citações"/>
    <w:basedOn w:val="Normal"/>
    <w:rsid w:val="009B0C86"/>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9B0C86"/>
    <w:pPr>
      <w:suppressAutoHyphens/>
      <w:spacing w:after="120"/>
      <w:ind w:left="283"/>
    </w:pPr>
    <w:rPr>
      <w:sz w:val="16"/>
      <w:szCs w:val="16"/>
      <w:lang w:eastAsia="ar-SA"/>
    </w:rPr>
  </w:style>
  <w:style w:type="paragraph" w:customStyle="1" w:styleId="Corpodetexto21">
    <w:name w:val="Corpo de texto 21"/>
    <w:basedOn w:val="Normal"/>
    <w:rsid w:val="009B0C86"/>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9B0C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9B0C86"/>
    <w:rPr>
      <w:b/>
      <w:bCs/>
    </w:rPr>
  </w:style>
  <w:style w:type="paragraph" w:styleId="Recuodecorpodetexto">
    <w:name w:val="Body Text Indent"/>
    <w:basedOn w:val="Normal"/>
    <w:link w:val="RecuodecorpodetextoChar"/>
    <w:unhideWhenUsed/>
    <w:rsid w:val="009B0C86"/>
    <w:pPr>
      <w:spacing w:after="120"/>
      <w:ind w:left="283"/>
    </w:pPr>
  </w:style>
  <w:style w:type="character" w:customStyle="1" w:styleId="RecuodecorpodetextoChar">
    <w:name w:val="Recuo de corpo de texto Char"/>
    <w:basedOn w:val="Fontepargpadro"/>
    <w:link w:val="Recuodecorpodetexto"/>
    <w:rsid w:val="009B0C86"/>
    <w:rPr>
      <w:rFonts w:ascii="Times New Roman" w:eastAsia="Times New Roman" w:hAnsi="Times New Roman" w:cs="Times New Roman"/>
      <w:sz w:val="24"/>
      <w:szCs w:val="24"/>
      <w:lang w:eastAsia="pt-BR"/>
    </w:rPr>
  </w:style>
  <w:style w:type="paragraph" w:customStyle="1" w:styleId="Corpodetexto22">
    <w:name w:val="Corpo de texto 22"/>
    <w:basedOn w:val="Normal"/>
    <w:rsid w:val="009B0C86"/>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rsid w:val="009B0C86"/>
    <w:pPr>
      <w:overflowPunct w:val="0"/>
      <w:autoSpaceDE w:val="0"/>
      <w:autoSpaceDN w:val="0"/>
      <w:adjustRightInd w:val="0"/>
      <w:ind w:left="1701"/>
      <w:jc w:val="both"/>
      <w:textAlignment w:val="baseline"/>
    </w:pPr>
    <w:rPr>
      <w:b/>
      <w:szCs w:val="20"/>
    </w:rPr>
  </w:style>
  <w:style w:type="paragraph" w:styleId="SemEspaamento">
    <w:name w:val="No Spacing"/>
    <w:uiPriority w:val="1"/>
    <w:qFormat/>
    <w:rsid w:val="009B0C86"/>
    <w:pPr>
      <w:suppressAutoHyphens/>
      <w:spacing w:after="0" w:line="240" w:lineRule="auto"/>
    </w:pPr>
    <w:rPr>
      <w:rFonts w:ascii="Calibri" w:eastAsia="Calibri" w:hAnsi="Calibri" w:cs="Times New Roman"/>
      <w:kern w:val="2"/>
      <w:lang w:eastAsia="zh-CN"/>
    </w:rPr>
  </w:style>
  <w:style w:type="paragraph" w:customStyle="1" w:styleId="Textoembloco1">
    <w:name w:val="Texto em bloco1"/>
    <w:basedOn w:val="Normal"/>
    <w:rsid w:val="009B0C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rsid w:val="009B0C86"/>
    <w:pPr>
      <w:suppressAutoHyphens/>
      <w:spacing w:line="240" w:lineRule="atLeast"/>
      <w:ind w:right="-5"/>
      <w:jc w:val="both"/>
    </w:pPr>
    <w:rPr>
      <w:rFonts w:ascii="Arial" w:hAnsi="Arial"/>
      <w:b/>
      <w:szCs w:val="20"/>
      <w:lang w:eastAsia="ar-SA"/>
    </w:rPr>
  </w:style>
  <w:style w:type="paragraph" w:customStyle="1" w:styleId="Recuonormal1">
    <w:name w:val="Recuo normal1"/>
    <w:basedOn w:val="Normal"/>
    <w:rsid w:val="009B0C86"/>
    <w:pPr>
      <w:suppressAutoHyphens/>
      <w:ind w:left="708"/>
    </w:pPr>
    <w:rPr>
      <w:rFonts w:ascii="Arial" w:hAnsi="Arial"/>
      <w:szCs w:val="20"/>
      <w:lang w:eastAsia="ar-SA"/>
    </w:rPr>
  </w:style>
  <w:style w:type="character" w:customStyle="1" w:styleId="apple-style-span">
    <w:name w:val="apple-style-span"/>
    <w:basedOn w:val="Fontepargpadro"/>
    <w:rsid w:val="009B0C86"/>
  </w:style>
  <w:style w:type="character" w:styleId="nfase">
    <w:name w:val="Emphasis"/>
    <w:basedOn w:val="Fontepargpadro"/>
    <w:uiPriority w:val="20"/>
    <w:qFormat/>
    <w:rsid w:val="009B0C86"/>
    <w:rPr>
      <w:i/>
      <w:iCs/>
    </w:rPr>
  </w:style>
  <w:style w:type="character" w:customStyle="1" w:styleId="MenoPendente1">
    <w:name w:val="Menção Pendente1"/>
    <w:basedOn w:val="Fontepargpadro"/>
    <w:uiPriority w:val="99"/>
    <w:semiHidden/>
    <w:unhideWhenUsed/>
    <w:rsid w:val="009B0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994648050">
      <w:bodyDiv w:val="1"/>
      <w:marLeft w:val="0"/>
      <w:marRight w:val="0"/>
      <w:marTop w:val="0"/>
      <w:marBottom w:val="0"/>
      <w:divBdr>
        <w:top w:val="none" w:sz="0" w:space="0" w:color="auto"/>
        <w:left w:val="none" w:sz="0" w:space="0" w:color="auto"/>
        <w:bottom w:val="none" w:sz="0" w:space="0" w:color="auto"/>
        <w:right w:val="none" w:sz="0" w:space="0" w:color="auto"/>
      </w:divBdr>
    </w:div>
    <w:div w:id="133865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8F818A-E77D-4A1C-AACE-86E747D83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4</Pages>
  <Words>1516</Words>
  <Characters>8192</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Homologação</vt:lpstr>
    </vt:vector>
  </TitlesOfParts>
  <Company/>
  <LinksUpToDate>false</LinksUpToDate>
  <CharactersWithSpaces>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Homologação</dc:title>
  <dc:subject>Convite</dc:subject>
  <dc:creator>Gilda Ana Marcon Moreira - Pref. Munic. de Cotiporã RS</dc:creator>
  <cp:lastModifiedBy>Leticia Frizon</cp:lastModifiedBy>
  <cp:revision>96</cp:revision>
  <cp:lastPrinted>2025-03-12T17:58:00Z</cp:lastPrinted>
  <dcterms:created xsi:type="dcterms:W3CDTF">2015-01-20T10:04:00Z</dcterms:created>
  <dcterms:modified xsi:type="dcterms:W3CDTF">2025-11-19T19:24:00Z</dcterms:modified>
</cp:coreProperties>
</file>